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09B9" w14:textId="77777777" w:rsidR="00150DB6" w:rsidRDefault="00150DB6" w:rsidP="00E0796B">
      <w:pPr>
        <w:pStyle w:val="Date"/>
        <w:jc w:val="center"/>
        <w:rPr>
          <w:rFonts w:asciiTheme="majorHAnsi" w:eastAsiaTheme="minorEastAsia" w:hAnsiTheme="majorHAnsi"/>
          <w:b w:val="0"/>
          <w:sz w:val="36"/>
          <w:szCs w:val="11"/>
        </w:rPr>
      </w:pPr>
    </w:p>
    <w:p w14:paraId="0F294A15" w14:textId="5A4CA000" w:rsidR="008C02B5" w:rsidRPr="00D4257D" w:rsidRDefault="003A3F7A" w:rsidP="00E0796B">
      <w:pPr>
        <w:pStyle w:val="Date"/>
        <w:jc w:val="center"/>
        <w:rPr>
          <w:rFonts w:asciiTheme="majorHAnsi" w:eastAsiaTheme="minorEastAsia" w:hAnsiTheme="majorHAnsi"/>
          <w:b w:val="0"/>
          <w:sz w:val="36"/>
          <w:szCs w:val="11"/>
        </w:rPr>
      </w:pPr>
      <w:r>
        <w:rPr>
          <w:rFonts w:asciiTheme="majorHAnsi" w:eastAsiaTheme="minorEastAsia" w:hAnsiTheme="majorHAnsi"/>
          <w:b w:val="0"/>
          <w:sz w:val="36"/>
          <w:szCs w:val="11"/>
        </w:rPr>
        <w:t xml:space="preserve">Early Warning Systems GAP ANAlysis – Techincal </w:t>
      </w:r>
      <w:r w:rsidR="00F57917" w:rsidRPr="00D4257D">
        <w:rPr>
          <w:rFonts w:asciiTheme="majorHAnsi" w:eastAsiaTheme="minorEastAsia" w:hAnsiTheme="majorHAnsi"/>
          <w:b w:val="0"/>
          <w:sz w:val="36"/>
          <w:szCs w:val="11"/>
        </w:rPr>
        <w:t>WORKSHOP</w:t>
      </w:r>
    </w:p>
    <w:p w14:paraId="7AF8CF69" w14:textId="2BCDFE16" w:rsidR="00D1084A" w:rsidRPr="00D4257D" w:rsidRDefault="00D31DE1" w:rsidP="00D31DE1">
      <w:pPr>
        <w:pStyle w:val="Date"/>
        <w:jc w:val="center"/>
        <w:rPr>
          <w:b w:val="0"/>
          <w:bCs/>
          <w:sz w:val="28"/>
          <w:szCs w:val="22"/>
        </w:rPr>
      </w:pPr>
      <w:r w:rsidRPr="00D4257D">
        <w:rPr>
          <w:b w:val="0"/>
          <w:bCs/>
          <w:sz w:val="28"/>
          <w:szCs w:val="22"/>
          <w:highlight w:val="yellow"/>
        </w:rPr>
        <w:t>[TIMe, date, venue]</w:t>
      </w:r>
    </w:p>
    <w:p w14:paraId="18EB0F90" w14:textId="4BE42616" w:rsidR="00D31DE1" w:rsidRDefault="00D31DE1" w:rsidP="00D4257D">
      <w:pPr>
        <w:pStyle w:val="Heading2"/>
        <w:jc w:val="center"/>
        <w:rPr>
          <w:rFonts w:asciiTheme="minorHAnsi" w:eastAsiaTheme="minorHAnsi" w:hAnsiTheme="minorHAnsi" w:cstheme="minorBidi"/>
          <w:color w:val="17406D" w:themeColor="text2"/>
          <w:sz w:val="28"/>
          <w:szCs w:val="22"/>
        </w:rPr>
      </w:pPr>
      <w:r w:rsidRPr="00D4257D">
        <w:rPr>
          <w:rFonts w:asciiTheme="minorHAnsi" w:eastAsiaTheme="minorHAnsi" w:hAnsiTheme="minorHAnsi" w:cstheme="minorBidi"/>
          <w:color w:val="17406D" w:themeColor="text2"/>
          <w:sz w:val="28"/>
          <w:szCs w:val="22"/>
        </w:rPr>
        <w:t>concept note and Agenda</w:t>
      </w:r>
    </w:p>
    <w:p w14:paraId="3783EF5C" w14:textId="73BC14DC" w:rsidR="00D4257D" w:rsidRPr="004304C0" w:rsidRDefault="00F31A25" w:rsidP="00F31A25">
      <w:pPr>
        <w:jc w:val="both"/>
        <w:rPr>
          <w:color w:val="FF0000"/>
          <w:sz w:val="24"/>
          <w:szCs w:val="24"/>
        </w:rPr>
      </w:pPr>
      <w:r w:rsidRPr="004304C0">
        <w:rPr>
          <w:color w:val="FF0000"/>
          <w:sz w:val="24"/>
          <w:szCs w:val="24"/>
        </w:rPr>
        <w:t xml:space="preserve">This workshop is recommended only in case there is no prior gap analysis of early warning systems conducted for all four pillars and cross-cutting dimensions. </w:t>
      </w:r>
    </w:p>
    <w:p w14:paraId="27831507" w14:textId="25A94BE8" w:rsidR="002919EB" w:rsidRPr="004304C0" w:rsidRDefault="002919EB" w:rsidP="00F31A25">
      <w:pPr>
        <w:jc w:val="both"/>
        <w:rPr>
          <w:color w:val="FF0000"/>
          <w:sz w:val="24"/>
          <w:szCs w:val="24"/>
        </w:rPr>
      </w:pPr>
      <w:r w:rsidRPr="004304C0">
        <w:rPr>
          <w:b/>
          <w:bCs/>
          <w:color w:val="FF0000"/>
          <w:sz w:val="24"/>
          <w:szCs w:val="24"/>
        </w:rPr>
        <w:t>Disclaimer</w:t>
      </w:r>
      <w:r w:rsidRPr="004304C0">
        <w:rPr>
          <w:color w:val="FF0000"/>
          <w:sz w:val="24"/>
          <w:szCs w:val="24"/>
        </w:rPr>
        <w:t>: The proposed gap analysis process does not apply to Pillar 2 on Detection, Monitoring, Analysis &amp; Forecasting. As Pillar lead, WMO conducts a dedicated consultation process with National Hydro-meteorological Services</w:t>
      </w:r>
      <w:r w:rsidR="00E0796B">
        <w:rPr>
          <w:color w:val="FF0000"/>
          <w:sz w:val="24"/>
          <w:szCs w:val="24"/>
        </w:rPr>
        <w:t>,</w:t>
      </w:r>
      <w:r w:rsidRPr="004304C0">
        <w:rPr>
          <w:color w:val="FF0000"/>
          <w:sz w:val="24"/>
          <w:szCs w:val="24"/>
        </w:rPr>
        <w:t xml:space="preserve"> through which the relevant information is </w:t>
      </w:r>
      <w:r w:rsidR="00150DB6">
        <w:rPr>
          <w:color w:val="FF0000"/>
          <w:sz w:val="24"/>
          <w:szCs w:val="24"/>
        </w:rPr>
        <w:t>sourced</w:t>
      </w:r>
      <w:r w:rsidRPr="004304C0">
        <w:rPr>
          <w:color w:val="FF0000"/>
          <w:sz w:val="24"/>
          <w:szCs w:val="24"/>
        </w:rPr>
        <w:t xml:space="preserve"> accordingly. Therefore</w:t>
      </w:r>
      <w:r w:rsidR="00A14D8C">
        <w:rPr>
          <w:color w:val="FF0000"/>
          <w:sz w:val="24"/>
          <w:szCs w:val="24"/>
        </w:rPr>
        <w:t>,</w:t>
      </w:r>
      <w:r w:rsidRPr="004304C0">
        <w:rPr>
          <w:color w:val="FF0000"/>
          <w:sz w:val="24"/>
          <w:szCs w:val="24"/>
        </w:rPr>
        <w:t xml:space="preserve"> the gap analysis technical workshop shall not review or collect any information concerning Pillar 2. However, National Hydro-meteorological Services should be invited as participants</w:t>
      </w:r>
      <w:r w:rsidR="00E0796B">
        <w:rPr>
          <w:color w:val="FF0000"/>
          <w:sz w:val="24"/>
          <w:szCs w:val="24"/>
        </w:rPr>
        <w:t xml:space="preserve"> to this workshop</w:t>
      </w:r>
      <w:r w:rsidRPr="004304C0">
        <w:rPr>
          <w:color w:val="FF0000"/>
          <w:sz w:val="24"/>
          <w:szCs w:val="24"/>
        </w:rPr>
        <w:t>, for the sake of coordination and alignment and for their input into inter-pillar discussions.</w:t>
      </w:r>
      <w:r w:rsidR="004304C0" w:rsidRPr="004304C0">
        <w:rPr>
          <w:color w:val="FF0000"/>
          <w:sz w:val="24"/>
          <w:szCs w:val="24"/>
        </w:rPr>
        <w:t xml:space="preserve"> The </w:t>
      </w:r>
      <w:r w:rsidR="00E0796B">
        <w:rPr>
          <w:color w:val="FF0000"/>
          <w:sz w:val="24"/>
          <w:szCs w:val="24"/>
        </w:rPr>
        <w:t>information</w:t>
      </w:r>
      <w:r w:rsidR="004304C0" w:rsidRPr="004304C0">
        <w:rPr>
          <w:color w:val="FF0000"/>
          <w:sz w:val="24"/>
          <w:szCs w:val="24"/>
        </w:rPr>
        <w:t xml:space="preserve"> collected independently for Pillar 2’s gap analysis may be presented during the plenary session.</w:t>
      </w:r>
    </w:p>
    <w:p w14:paraId="64614087" w14:textId="570E93EE" w:rsidR="00D1084A" w:rsidRPr="0070714E" w:rsidRDefault="008C02B5">
      <w:pPr>
        <w:pStyle w:val="Heading2"/>
        <w:rPr>
          <w:color w:val="0041A1"/>
          <w:sz w:val="28"/>
          <w:szCs w:val="28"/>
        </w:rPr>
      </w:pPr>
      <w:r>
        <w:rPr>
          <w:color w:val="0041A1"/>
          <w:sz w:val="28"/>
          <w:szCs w:val="28"/>
        </w:rPr>
        <w:t>Introduction</w:t>
      </w:r>
    </w:p>
    <w:p w14:paraId="37E24A41" w14:textId="4B19EA7C" w:rsidR="008C02B5" w:rsidRPr="0073647B" w:rsidRDefault="008C02B5" w:rsidP="008C02B5">
      <w:pPr>
        <w:jc w:val="both"/>
        <w:rPr>
          <w:sz w:val="24"/>
          <w:szCs w:val="24"/>
        </w:rPr>
      </w:pPr>
      <w:r w:rsidRPr="0073647B">
        <w:rPr>
          <w:sz w:val="24"/>
          <w:szCs w:val="24"/>
        </w:rPr>
        <w:t>Early Warning Systems are a proven</w:t>
      </w:r>
      <w:r w:rsidR="00E0796B">
        <w:rPr>
          <w:sz w:val="24"/>
          <w:szCs w:val="24"/>
        </w:rPr>
        <w:t xml:space="preserve"> and </w:t>
      </w:r>
      <w:r w:rsidRPr="0073647B">
        <w:rPr>
          <w:sz w:val="24"/>
          <w:szCs w:val="24"/>
        </w:rPr>
        <w:t>effective disaster risk reduction and climate adaptation measure, that save</w:t>
      </w:r>
      <w:r w:rsidR="00E0796B">
        <w:rPr>
          <w:sz w:val="24"/>
          <w:szCs w:val="24"/>
        </w:rPr>
        <w:t>s</w:t>
      </w:r>
      <w:r w:rsidRPr="0073647B">
        <w:rPr>
          <w:sz w:val="24"/>
          <w:szCs w:val="24"/>
        </w:rPr>
        <w:t xml:space="preserve"> lives and provide</w:t>
      </w:r>
      <w:r w:rsidR="00E0796B">
        <w:rPr>
          <w:sz w:val="24"/>
          <w:szCs w:val="24"/>
        </w:rPr>
        <w:t>s</w:t>
      </w:r>
      <w:r w:rsidRPr="0073647B">
        <w:rPr>
          <w:sz w:val="24"/>
          <w:szCs w:val="24"/>
        </w:rPr>
        <w:t xml:space="preserve"> a tenfold return on investment. Yet, major gaps in early warning systems remain, especially when it comes to translating early warnings into risk-informed early action.</w:t>
      </w:r>
    </w:p>
    <w:p w14:paraId="5883FC6D" w14:textId="14BCCE2F" w:rsidR="0073647B" w:rsidRDefault="00386BA8" w:rsidP="00E0796B">
      <w:pPr>
        <w:jc w:val="both"/>
        <w:rPr>
          <w:sz w:val="24"/>
          <w:szCs w:val="24"/>
        </w:rPr>
      </w:pPr>
      <w:r>
        <w:rPr>
          <w:sz w:val="24"/>
          <w:szCs w:val="24"/>
        </w:rPr>
        <w:t>Along</w:t>
      </w:r>
      <w:r w:rsidR="008C02B5" w:rsidRPr="0073647B">
        <w:rPr>
          <w:sz w:val="24"/>
          <w:szCs w:val="24"/>
        </w:rPr>
        <w:t xml:space="preserve"> the four foundational pillars</w:t>
      </w:r>
      <w:r w:rsidR="00C13EC2">
        <w:rPr>
          <w:sz w:val="24"/>
          <w:szCs w:val="24"/>
        </w:rPr>
        <w:t xml:space="preserve"> – risk knowledge, observation and forecasting, communication and dissemination and preparedness to respond –</w:t>
      </w:r>
      <w:r>
        <w:rPr>
          <w:sz w:val="24"/>
          <w:szCs w:val="24"/>
        </w:rPr>
        <w:t xml:space="preserve"> significant gaps pose challenges to the effective implementation of EWS: </w:t>
      </w:r>
    </w:p>
    <w:p w14:paraId="73D292E7" w14:textId="40502D3C" w:rsidR="00386BA8" w:rsidRPr="00386BA8" w:rsidRDefault="00386BA8" w:rsidP="0006499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386BA8">
        <w:rPr>
          <w:b/>
          <w:bCs/>
          <w:sz w:val="24"/>
          <w:szCs w:val="24"/>
        </w:rPr>
        <w:lastRenderedPageBreak/>
        <w:t xml:space="preserve">Pillar 1 </w:t>
      </w:r>
    </w:p>
    <w:p w14:paraId="1FEF4727" w14:textId="1CF72281" w:rsidR="003A3F7A" w:rsidRDefault="003A3F7A" w:rsidP="000B6B3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C13EC2">
        <w:rPr>
          <w:b/>
          <w:bCs/>
          <w:sz w:val="24"/>
          <w:szCs w:val="24"/>
        </w:rPr>
        <w:t>Disaster risk knowledge</w:t>
      </w:r>
      <w:r w:rsidRPr="003A3F7A">
        <w:rPr>
          <w:sz w:val="24"/>
          <w:szCs w:val="24"/>
        </w:rPr>
        <w:t>, the first</w:t>
      </w:r>
      <w:r>
        <w:rPr>
          <w:sz w:val="24"/>
          <w:szCs w:val="24"/>
        </w:rPr>
        <w:t xml:space="preserve"> </w:t>
      </w:r>
      <w:r w:rsidRPr="003A3F7A">
        <w:rPr>
          <w:sz w:val="24"/>
          <w:szCs w:val="24"/>
        </w:rPr>
        <w:t>pillar of EWS, suffers from</w:t>
      </w:r>
      <w:r>
        <w:rPr>
          <w:sz w:val="24"/>
          <w:szCs w:val="24"/>
        </w:rPr>
        <w:t xml:space="preserve"> </w:t>
      </w:r>
      <w:r w:rsidRPr="003A3F7A">
        <w:rPr>
          <w:sz w:val="24"/>
          <w:szCs w:val="24"/>
        </w:rPr>
        <w:t>significant shortcomings globally. Less</w:t>
      </w:r>
      <w:r>
        <w:rPr>
          <w:sz w:val="24"/>
          <w:szCs w:val="24"/>
        </w:rPr>
        <w:t xml:space="preserve"> </w:t>
      </w:r>
      <w:r w:rsidRPr="003A3F7A">
        <w:rPr>
          <w:sz w:val="24"/>
          <w:szCs w:val="24"/>
        </w:rPr>
        <w:t>than half of the countries reporting to</w:t>
      </w:r>
      <w:r>
        <w:rPr>
          <w:sz w:val="24"/>
          <w:szCs w:val="24"/>
        </w:rPr>
        <w:t xml:space="preserve"> </w:t>
      </w:r>
      <w:r w:rsidRPr="003A3F7A">
        <w:rPr>
          <w:sz w:val="24"/>
          <w:szCs w:val="24"/>
        </w:rPr>
        <w:t xml:space="preserve">have </w:t>
      </w:r>
      <w:r w:rsidR="00386BA8">
        <w:rPr>
          <w:sz w:val="24"/>
          <w:szCs w:val="24"/>
        </w:rPr>
        <w:t xml:space="preserve">multi-hazard </w:t>
      </w:r>
      <w:r w:rsidRPr="003A3F7A">
        <w:rPr>
          <w:sz w:val="24"/>
          <w:szCs w:val="24"/>
        </w:rPr>
        <w:t>EWS, indicate they have disaster</w:t>
      </w:r>
      <w:r>
        <w:rPr>
          <w:sz w:val="24"/>
          <w:szCs w:val="24"/>
        </w:rPr>
        <w:t xml:space="preserve"> </w:t>
      </w:r>
      <w:r w:rsidRPr="003A3F7A">
        <w:rPr>
          <w:sz w:val="24"/>
          <w:szCs w:val="24"/>
        </w:rPr>
        <w:t>risk information and assessments</w:t>
      </w:r>
      <w:r>
        <w:rPr>
          <w:sz w:val="24"/>
          <w:szCs w:val="24"/>
        </w:rPr>
        <w:t xml:space="preserve"> </w:t>
      </w:r>
      <w:r w:rsidRPr="003A3F7A">
        <w:rPr>
          <w:sz w:val="24"/>
          <w:szCs w:val="24"/>
        </w:rPr>
        <w:t>available in an appropriate manner. Even</w:t>
      </w:r>
      <w:r>
        <w:rPr>
          <w:sz w:val="24"/>
          <w:szCs w:val="24"/>
        </w:rPr>
        <w:t xml:space="preserve"> </w:t>
      </w:r>
      <w:r w:rsidRPr="003A3F7A">
        <w:rPr>
          <w:sz w:val="24"/>
          <w:szCs w:val="24"/>
        </w:rPr>
        <w:t>fewer countries have EWS that are</w:t>
      </w:r>
      <w:r>
        <w:rPr>
          <w:sz w:val="24"/>
          <w:szCs w:val="24"/>
        </w:rPr>
        <w:t xml:space="preserve"> </w:t>
      </w:r>
      <w:r w:rsidRPr="003A3F7A">
        <w:rPr>
          <w:sz w:val="24"/>
          <w:szCs w:val="24"/>
        </w:rPr>
        <w:t>based in national</w:t>
      </w:r>
      <w:r>
        <w:rPr>
          <w:sz w:val="24"/>
          <w:szCs w:val="24"/>
        </w:rPr>
        <w:t xml:space="preserve"> </w:t>
      </w:r>
      <w:r w:rsidRPr="003A3F7A">
        <w:rPr>
          <w:sz w:val="24"/>
          <w:szCs w:val="24"/>
        </w:rPr>
        <w:t>legislation and</w:t>
      </w:r>
      <w:r>
        <w:rPr>
          <w:sz w:val="24"/>
          <w:szCs w:val="24"/>
        </w:rPr>
        <w:t xml:space="preserve"> </w:t>
      </w:r>
      <w:r w:rsidRPr="003A3F7A">
        <w:rPr>
          <w:sz w:val="24"/>
          <w:szCs w:val="24"/>
        </w:rPr>
        <w:t>regulatory frameworks for emergency</w:t>
      </w:r>
      <w:r>
        <w:rPr>
          <w:sz w:val="24"/>
          <w:szCs w:val="24"/>
        </w:rPr>
        <w:t xml:space="preserve"> </w:t>
      </w:r>
      <w:r w:rsidRPr="003A3F7A">
        <w:rPr>
          <w:sz w:val="24"/>
          <w:szCs w:val="24"/>
        </w:rPr>
        <w:t>response.</w:t>
      </w:r>
      <w:r>
        <w:rPr>
          <w:sz w:val="24"/>
          <w:szCs w:val="24"/>
        </w:rPr>
        <w:t xml:space="preserve"> </w:t>
      </w:r>
      <w:r w:rsidRPr="003A3F7A">
        <w:rPr>
          <w:sz w:val="24"/>
          <w:szCs w:val="24"/>
        </w:rPr>
        <w:t>Beyond the technical issues related to</w:t>
      </w:r>
      <w:r>
        <w:rPr>
          <w:sz w:val="24"/>
          <w:szCs w:val="24"/>
        </w:rPr>
        <w:t xml:space="preserve"> </w:t>
      </w:r>
      <w:r w:rsidRPr="003A3F7A">
        <w:rPr>
          <w:sz w:val="24"/>
          <w:szCs w:val="24"/>
        </w:rPr>
        <w:t>data collection and interoperability, a lack</w:t>
      </w:r>
      <w:r>
        <w:rPr>
          <w:sz w:val="24"/>
          <w:szCs w:val="24"/>
        </w:rPr>
        <w:t xml:space="preserve"> </w:t>
      </w:r>
      <w:r w:rsidRPr="003A3F7A">
        <w:rPr>
          <w:sz w:val="24"/>
          <w:szCs w:val="24"/>
        </w:rPr>
        <w:t>of understanding of the socioeconomic</w:t>
      </w:r>
      <w:r>
        <w:rPr>
          <w:sz w:val="24"/>
          <w:szCs w:val="24"/>
        </w:rPr>
        <w:t xml:space="preserve"> </w:t>
      </w:r>
      <w:r w:rsidRPr="003A3F7A">
        <w:rPr>
          <w:sz w:val="24"/>
          <w:szCs w:val="24"/>
        </w:rPr>
        <w:t xml:space="preserve">benefits of </w:t>
      </w:r>
      <w:r w:rsidR="00C13EC2">
        <w:rPr>
          <w:sz w:val="24"/>
          <w:szCs w:val="24"/>
        </w:rPr>
        <w:t xml:space="preserve">risk data for </w:t>
      </w:r>
      <w:r w:rsidRPr="003A3F7A">
        <w:rPr>
          <w:sz w:val="24"/>
          <w:szCs w:val="24"/>
        </w:rPr>
        <w:t>EWS, a lack of legislation</w:t>
      </w:r>
      <w:r>
        <w:rPr>
          <w:sz w:val="24"/>
          <w:szCs w:val="24"/>
        </w:rPr>
        <w:t xml:space="preserve"> </w:t>
      </w:r>
      <w:r w:rsidRPr="003A3F7A">
        <w:rPr>
          <w:sz w:val="24"/>
          <w:szCs w:val="24"/>
        </w:rPr>
        <w:t>and governance among national</w:t>
      </w:r>
      <w:r>
        <w:rPr>
          <w:sz w:val="24"/>
          <w:szCs w:val="24"/>
        </w:rPr>
        <w:t xml:space="preserve"> </w:t>
      </w:r>
      <w:r w:rsidRPr="003A3F7A">
        <w:rPr>
          <w:sz w:val="24"/>
          <w:szCs w:val="24"/>
        </w:rPr>
        <w:t xml:space="preserve">institutions are key </w:t>
      </w:r>
      <w:r w:rsidR="00E0796B">
        <w:rPr>
          <w:sz w:val="24"/>
          <w:szCs w:val="24"/>
        </w:rPr>
        <w:t>priorities</w:t>
      </w:r>
      <w:r w:rsidRPr="003A3F7A">
        <w:rPr>
          <w:sz w:val="24"/>
          <w:szCs w:val="24"/>
        </w:rPr>
        <w:t xml:space="preserve"> to be</w:t>
      </w:r>
      <w:r>
        <w:rPr>
          <w:sz w:val="24"/>
          <w:szCs w:val="24"/>
        </w:rPr>
        <w:t xml:space="preserve"> </w:t>
      </w:r>
      <w:r w:rsidRPr="003A3F7A">
        <w:rPr>
          <w:sz w:val="24"/>
          <w:szCs w:val="24"/>
        </w:rPr>
        <w:t>addressed</w:t>
      </w:r>
      <w:r w:rsidR="00C13EC2">
        <w:rPr>
          <w:sz w:val="24"/>
          <w:szCs w:val="24"/>
        </w:rPr>
        <w:t xml:space="preserve"> globally</w:t>
      </w:r>
      <w:r w:rsidRPr="003A3F7A">
        <w:rPr>
          <w:sz w:val="24"/>
          <w:szCs w:val="24"/>
        </w:rPr>
        <w:t>.</w:t>
      </w:r>
    </w:p>
    <w:p w14:paraId="1AB3C27D" w14:textId="77777777" w:rsidR="000B6B32" w:rsidRDefault="000B6B32" w:rsidP="000B6B3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40DFE9AA" w14:textId="3A287191" w:rsidR="00C13EC2" w:rsidRPr="00C13EC2" w:rsidRDefault="00C13EC2" w:rsidP="00C13EC2">
      <w:pPr>
        <w:spacing w:after="0"/>
        <w:jc w:val="both"/>
        <w:rPr>
          <w:b/>
          <w:bCs/>
          <w:sz w:val="24"/>
          <w:szCs w:val="24"/>
        </w:rPr>
      </w:pPr>
      <w:r w:rsidRPr="00C13EC2">
        <w:rPr>
          <w:b/>
          <w:bCs/>
          <w:sz w:val="24"/>
          <w:szCs w:val="24"/>
        </w:rPr>
        <w:t>Pillar 2</w:t>
      </w:r>
    </w:p>
    <w:p w14:paraId="539B9725" w14:textId="4F8FA00F" w:rsidR="0006499A" w:rsidRDefault="0006499A" w:rsidP="0006499A">
      <w:pPr>
        <w:jc w:val="both"/>
        <w:rPr>
          <w:sz w:val="24"/>
          <w:szCs w:val="24"/>
        </w:rPr>
      </w:pPr>
      <w:r w:rsidRPr="0006499A">
        <w:rPr>
          <w:sz w:val="24"/>
          <w:szCs w:val="24"/>
        </w:rPr>
        <w:t xml:space="preserve">An assessment of </w:t>
      </w:r>
      <w:r w:rsidRPr="00C13EC2">
        <w:rPr>
          <w:b/>
          <w:bCs/>
          <w:sz w:val="24"/>
          <w:szCs w:val="24"/>
        </w:rPr>
        <w:t>observation, monitoring</w:t>
      </w:r>
      <w:r w:rsidR="00A14D8C">
        <w:rPr>
          <w:b/>
          <w:bCs/>
          <w:sz w:val="24"/>
          <w:szCs w:val="24"/>
        </w:rPr>
        <w:t>,</w:t>
      </w:r>
      <w:r w:rsidRPr="00C13EC2">
        <w:rPr>
          <w:b/>
          <w:bCs/>
          <w:sz w:val="24"/>
          <w:szCs w:val="24"/>
        </w:rPr>
        <w:t xml:space="preserve"> and forecasting</w:t>
      </w:r>
      <w:r w:rsidRPr="0006499A">
        <w:rPr>
          <w:sz w:val="24"/>
          <w:szCs w:val="24"/>
        </w:rPr>
        <w:t xml:space="preserve"> of hazards, reveals significant</w:t>
      </w:r>
      <w:r>
        <w:rPr>
          <w:sz w:val="24"/>
          <w:szCs w:val="24"/>
        </w:rPr>
        <w:t xml:space="preserve"> </w:t>
      </w:r>
      <w:r w:rsidRPr="0006499A">
        <w:rPr>
          <w:sz w:val="24"/>
          <w:szCs w:val="24"/>
        </w:rPr>
        <w:t>global gaps. In-situ observations fall far short of meeting the requirements of the Global Basic</w:t>
      </w:r>
      <w:r>
        <w:rPr>
          <w:sz w:val="24"/>
          <w:szCs w:val="24"/>
        </w:rPr>
        <w:t xml:space="preserve"> </w:t>
      </w:r>
      <w:r w:rsidRPr="0006499A">
        <w:rPr>
          <w:sz w:val="24"/>
          <w:szCs w:val="24"/>
        </w:rPr>
        <w:t>Observation Network. In the forecasting area, many countries lack the capacity to</w:t>
      </w:r>
      <w:r>
        <w:rPr>
          <w:sz w:val="24"/>
          <w:szCs w:val="24"/>
        </w:rPr>
        <w:t xml:space="preserve"> </w:t>
      </w:r>
      <w:r w:rsidRPr="0006499A">
        <w:rPr>
          <w:sz w:val="24"/>
          <w:szCs w:val="24"/>
        </w:rPr>
        <w:t>incorporate an impact-based approach to forecasting and still have challenges in accessing,</w:t>
      </w:r>
      <w:r>
        <w:rPr>
          <w:sz w:val="24"/>
          <w:szCs w:val="24"/>
        </w:rPr>
        <w:t xml:space="preserve"> </w:t>
      </w:r>
      <w:r w:rsidRPr="0006499A">
        <w:rPr>
          <w:sz w:val="24"/>
          <w:szCs w:val="24"/>
        </w:rPr>
        <w:t>analyzing</w:t>
      </w:r>
      <w:r w:rsidR="00A14D8C">
        <w:rPr>
          <w:sz w:val="24"/>
          <w:szCs w:val="24"/>
        </w:rPr>
        <w:t>,</w:t>
      </w:r>
      <w:r w:rsidRPr="0006499A">
        <w:rPr>
          <w:sz w:val="24"/>
          <w:szCs w:val="24"/>
        </w:rPr>
        <w:t xml:space="preserve"> and translating prediction model outputs into actionable warning messages.</w:t>
      </w:r>
    </w:p>
    <w:p w14:paraId="40EC3355" w14:textId="569F0F3C" w:rsidR="00C13EC2" w:rsidRPr="00C13EC2" w:rsidRDefault="00C13EC2" w:rsidP="00C13EC2">
      <w:pPr>
        <w:spacing w:after="0"/>
        <w:jc w:val="both"/>
        <w:rPr>
          <w:b/>
          <w:bCs/>
          <w:sz w:val="24"/>
          <w:szCs w:val="24"/>
        </w:rPr>
      </w:pPr>
      <w:r w:rsidRPr="00C13EC2">
        <w:rPr>
          <w:b/>
          <w:bCs/>
          <w:sz w:val="24"/>
          <w:szCs w:val="24"/>
        </w:rPr>
        <w:t>Pillar 3</w:t>
      </w:r>
    </w:p>
    <w:p w14:paraId="532510EF" w14:textId="3C9E3EFD" w:rsidR="00386BA8" w:rsidRDefault="00386BA8" w:rsidP="00C13EC2">
      <w:pPr>
        <w:jc w:val="both"/>
        <w:rPr>
          <w:sz w:val="24"/>
          <w:szCs w:val="24"/>
        </w:rPr>
      </w:pPr>
      <w:r w:rsidRPr="00386BA8">
        <w:rPr>
          <w:sz w:val="24"/>
          <w:szCs w:val="24"/>
        </w:rPr>
        <w:t xml:space="preserve">Considering </w:t>
      </w:r>
      <w:r w:rsidRPr="00C13EC2">
        <w:rPr>
          <w:b/>
          <w:bCs/>
          <w:sz w:val="24"/>
          <w:szCs w:val="24"/>
        </w:rPr>
        <w:t>warning dissemination and communication</w:t>
      </w:r>
      <w:r w:rsidRPr="00386BA8">
        <w:rPr>
          <w:sz w:val="24"/>
          <w:szCs w:val="24"/>
        </w:rPr>
        <w:t>, alerting</w:t>
      </w:r>
      <w:r>
        <w:rPr>
          <w:sz w:val="24"/>
          <w:szCs w:val="24"/>
        </w:rPr>
        <w:t xml:space="preserve"> </w:t>
      </w:r>
      <w:r w:rsidRPr="00386BA8">
        <w:rPr>
          <w:sz w:val="24"/>
          <w:szCs w:val="24"/>
        </w:rPr>
        <w:t>authorities</w:t>
      </w:r>
      <w:r w:rsidR="00E0796B">
        <w:rPr>
          <w:sz w:val="24"/>
          <w:szCs w:val="24"/>
        </w:rPr>
        <w:t xml:space="preserve"> </w:t>
      </w:r>
      <w:r w:rsidRPr="00386BA8">
        <w:rPr>
          <w:sz w:val="24"/>
          <w:szCs w:val="24"/>
        </w:rPr>
        <w:t>frequently use a variety of</w:t>
      </w:r>
      <w:r>
        <w:rPr>
          <w:sz w:val="24"/>
          <w:szCs w:val="24"/>
        </w:rPr>
        <w:t xml:space="preserve"> </w:t>
      </w:r>
      <w:r w:rsidRPr="00386BA8">
        <w:rPr>
          <w:sz w:val="24"/>
          <w:szCs w:val="24"/>
        </w:rPr>
        <w:t>communication channels. Differences lie in the uptake of modern information and communication</w:t>
      </w:r>
      <w:r>
        <w:rPr>
          <w:sz w:val="24"/>
          <w:szCs w:val="24"/>
        </w:rPr>
        <w:t xml:space="preserve"> </w:t>
      </w:r>
      <w:r w:rsidRPr="00386BA8">
        <w:rPr>
          <w:sz w:val="24"/>
          <w:szCs w:val="24"/>
        </w:rPr>
        <w:t>technologies in addition to the traditional mass media such as radios and TV channels. Challenges however remain in ensuring that public warnings from official sources are</w:t>
      </w:r>
      <w:r>
        <w:rPr>
          <w:sz w:val="24"/>
          <w:szCs w:val="24"/>
        </w:rPr>
        <w:t xml:space="preserve"> </w:t>
      </w:r>
      <w:r w:rsidRPr="00386BA8">
        <w:rPr>
          <w:sz w:val="24"/>
          <w:szCs w:val="24"/>
        </w:rPr>
        <w:t>easily recognized, that redistribution including through relays of information at the community levels reach</w:t>
      </w:r>
      <w:r w:rsidR="00150DB6">
        <w:rPr>
          <w:sz w:val="24"/>
          <w:szCs w:val="24"/>
        </w:rPr>
        <w:t>es</w:t>
      </w:r>
      <w:r w:rsidRPr="00386BA8">
        <w:rPr>
          <w:sz w:val="24"/>
          <w:szCs w:val="24"/>
        </w:rPr>
        <w:t xml:space="preserve"> all people at risk, especially the most vulnerable. The implementation of the</w:t>
      </w:r>
      <w:r>
        <w:rPr>
          <w:sz w:val="24"/>
          <w:szCs w:val="24"/>
        </w:rPr>
        <w:t xml:space="preserve"> </w:t>
      </w:r>
      <w:r w:rsidRPr="00386BA8">
        <w:rPr>
          <w:sz w:val="24"/>
          <w:szCs w:val="24"/>
        </w:rPr>
        <w:t>Common Alerting Protocol, although recognized as suitable and ensuring consistency for all hazards and</w:t>
      </w:r>
      <w:r>
        <w:rPr>
          <w:sz w:val="24"/>
          <w:szCs w:val="24"/>
        </w:rPr>
        <w:t xml:space="preserve"> </w:t>
      </w:r>
      <w:r w:rsidRPr="00386BA8">
        <w:rPr>
          <w:sz w:val="24"/>
          <w:szCs w:val="24"/>
        </w:rPr>
        <w:t>all media is still a gap in many countries</w:t>
      </w:r>
      <w:r>
        <w:rPr>
          <w:sz w:val="24"/>
          <w:szCs w:val="24"/>
        </w:rPr>
        <w:t xml:space="preserve">. </w:t>
      </w:r>
    </w:p>
    <w:p w14:paraId="5416A7E1" w14:textId="229C4F29" w:rsidR="00C13EC2" w:rsidRPr="00C13EC2" w:rsidRDefault="00C13EC2" w:rsidP="00C13EC2">
      <w:pPr>
        <w:spacing w:after="0"/>
        <w:jc w:val="both"/>
        <w:rPr>
          <w:b/>
          <w:bCs/>
          <w:sz w:val="24"/>
          <w:szCs w:val="24"/>
        </w:rPr>
      </w:pPr>
      <w:r w:rsidRPr="00C13EC2">
        <w:rPr>
          <w:b/>
          <w:bCs/>
          <w:sz w:val="24"/>
          <w:szCs w:val="24"/>
        </w:rPr>
        <w:t>Pillar 4</w:t>
      </w:r>
    </w:p>
    <w:p w14:paraId="647D4D3C" w14:textId="53FC36F7" w:rsidR="003A3F7A" w:rsidRDefault="00C13EC2" w:rsidP="004304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386BA8" w:rsidRPr="00386BA8">
        <w:rPr>
          <w:sz w:val="24"/>
          <w:szCs w:val="24"/>
        </w:rPr>
        <w:t xml:space="preserve">aving </w:t>
      </w:r>
      <w:r w:rsidR="00386BA8" w:rsidRPr="00C13EC2">
        <w:rPr>
          <w:b/>
          <w:bCs/>
          <w:sz w:val="24"/>
          <w:szCs w:val="24"/>
        </w:rPr>
        <w:t>preparedness and response plans and capabilities</w:t>
      </w:r>
      <w:r w:rsidR="00386BA8" w:rsidRPr="00386BA8">
        <w:rPr>
          <w:sz w:val="24"/>
          <w:szCs w:val="24"/>
        </w:rPr>
        <w:t>, including at local government level is</w:t>
      </w:r>
      <w:r w:rsidR="00386BA8">
        <w:rPr>
          <w:sz w:val="24"/>
          <w:szCs w:val="24"/>
        </w:rPr>
        <w:t xml:space="preserve"> </w:t>
      </w:r>
      <w:r w:rsidR="00386BA8" w:rsidRPr="00386BA8">
        <w:rPr>
          <w:sz w:val="24"/>
          <w:szCs w:val="24"/>
        </w:rPr>
        <w:t xml:space="preserve">vital for responding to warnings issued by the regional or national </w:t>
      </w:r>
      <w:r w:rsidR="00386BA8" w:rsidRPr="00386BA8">
        <w:rPr>
          <w:sz w:val="24"/>
          <w:szCs w:val="24"/>
        </w:rPr>
        <w:lastRenderedPageBreak/>
        <w:t>hydro-meteorological services. Less</w:t>
      </w:r>
      <w:r w:rsidR="00386BA8">
        <w:rPr>
          <w:sz w:val="24"/>
          <w:szCs w:val="24"/>
        </w:rPr>
        <w:t xml:space="preserve"> </w:t>
      </w:r>
      <w:r w:rsidR="00386BA8" w:rsidRPr="00386BA8">
        <w:rPr>
          <w:sz w:val="24"/>
          <w:szCs w:val="24"/>
        </w:rPr>
        <w:t>than half of the countries which have WES in place report on the availability of such plans. Identified</w:t>
      </w:r>
      <w:r w:rsidR="00386B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global </w:t>
      </w:r>
      <w:r w:rsidR="00386BA8" w:rsidRPr="00386BA8">
        <w:rPr>
          <w:sz w:val="24"/>
          <w:szCs w:val="24"/>
        </w:rPr>
        <w:t>gaps in this area relate to policy development, governance, collaboration</w:t>
      </w:r>
      <w:r w:rsidR="00A14D8C">
        <w:rPr>
          <w:sz w:val="24"/>
          <w:szCs w:val="24"/>
        </w:rPr>
        <w:t>,</w:t>
      </w:r>
      <w:r w:rsidR="00386BA8" w:rsidRPr="00386BA8">
        <w:rPr>
          <w:sz w:val="24"/>
          <w:szCs w:val="24"/>
        </w:rPr>
        <w:t xml:space="preserve"> and inclusion at large.</w:t>
      </w:r>
    </w:p>
    <w:p w14:paraId="1BB1DC2B" w14:textId="77777777" w:rsidR="004304C0" w:rsidRDefault="004304C0" w:rsidP="004304C0">
      <w:pPr>
        <w:spacing w:after="0"/>
        <w:jc w:val="both"/>
        <w:rPr>
          <w:sz w:val="24"/>
          <w:szCs w:val="24"/>
        </w:rPr>
      </w:pPr>
    </w:p>
    <w:p w14:paraId="6767F810" w14:textId="2A3D4016" w:rsidR="00386BA8" w:rsidRPr="0073647B" w:rsidRDefault="00A14D8C" w:rsidP="00386BA8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C13EC2">
        <w:rPr>
          <w:sz w:val="24"/>
          <w:szCs w:val="24"/>
        </w:rPr>
        <w:t xml:space="preserve">o address these persisting challenges, the </w:t>
      </w:r>
      <w:r w:rsidR="00386BA8" w:rsidRPr="0073647B">
        <w:rPr>
          <w:sz w:val="24"/>
          <w:szCs w:val="24"/>
        </w:rPr>
        <w:t xml:space="preserve">Early Warnings for All </w:t>
      </w:r>
      <w:r w:rsidR="00C13EC2">
        <w:rPr>
          <w:sz w:val="24"/>
          <w:szCs w:val="24"/>
        </w:rPr>
        <w:t xml:space="preserve">(EW4All) </w:t>
      </w:r>
      <w:r w:rsidR="00386BA8" w:rsidRPr="0073647B">
        <w:rPr>
          <w:sz w:val="24"/>
          <w:szCs w:val="24"/>
        </w:rPr>
        <w:t xml:space="preserve">– a global initiative to ensure that everyone on Earth is protected by early warnings by 2027 – is being fast-tracked into action on the ground. The UN Secretary-General released in November 2022 the </w:t>
      </w:r>
      <w:hyperlink r:id="rId11" w:history="1">
        <w:r w:rsidR="00386BA8" w:rsidRPr="007C50B6">
          <w:rPr>
            <w:rStyle w:val="Hyperlink"/>
            <w:sz w:val="24"/>
            <w:szCs w:val="24"/>
          </w:rPr>
          <w:t>High-level Executive Action Plan</w:t>
        </w:r>
      </w:hyperlink>
      <w:r w:rsidR="00386BA8" w:rsidRPr="0073647B">
        <w:rPr>
          <w:sz w:val="24"/>
          <w:szCs w:val="24"/>
        </w:rPr>
        <w:t xml:space="preserve"> for this initiative, emphasi</w:t>
      </w:r>
      <w:r w:rsidR="00386BA8">
        <w:rPr>
          <w:sz w:val="24"/>
          <w:szCs w:val="24"/>
        </w:rPr>
        <w:t>s</w:t>
      </w:r>
      <w:r w:rsidR="00386BA8" w:rsidRPr="0073647B">
        <w:rPr>
          <w:sz w:val="24"/>
          <w:szCs w:val="24"/>
        </w:rPr>
        <w:t xml:space="preserve">ing the urgent need to support the most vulnerable.  </w:t>
      </w:r>
    </w:p>
    <w:p w14:paraId="351358EE" w14:textId="163FC58C" w:rsidR="0073647B" w:rsidRDefault="0073647B" w:rsidP="007C50B6">
      <w:pPr>
        <w:jc w:val="both"/>
        <w:rPr>
          <w:sz w:val="24"/>
          <w:szCs w:val="24"/>
        </w:rPr>
      </w:pPr>
      <w:r w:rsidRPr="0073647B">
        <w:rPr>
          <w:sz w:val="24"/>
          <w:szCs w:val="24"/>
        </w:rPr>
        <w:t xml:space="preserve">Building on </w:t>
      </w:r>
      <w:r w:rsidR="00C13EC2">
        <w:rPr>
          <w:sz w:val="24"/>
          <w:szCs w:val="24"/>
        </w:rPr>
        <w:t xml:space="preserve">the national inception workshop held on </w:t>
      </w:r>
      <w:r w:rsidR="00C13EC2" w:rsidRPr="000B6B32">
        <w:rPr>
          <w:sz w:val="24"/>
          <w:szCs w:val="24"/>
          <w:highlight w:val="yellow"/>
        </w:rPr>
        <w:t>[DATE]</w:t>
      </w:r>
      <w:r w:rsidR="00564427">
        <w:rPr>
          <w:sz w:val="24"/>
          <w:szCs w:val="24"/>
        </w:rPr>
        <w:t xml:space="preserve">, this technical workshop will gather key stakeholders for a stock-take of existing actions, </w:t>
      </w:r>
      <w:proofErr w:type="gramStart"/>
      <w:r w:rsidR="00564427">
        <w:rPr>
          <w:sz w:val="24"/>
          <w:szCs w:val="24"/>
        </w:rPr>
        <w:t>initiatives</w:t>
      </w:r>
      <w:proofErr w:type="gramEnd"/>
      <w:r w:rsidR="00564427">
        <w:rPr>
          <w:sz w:val="24"/>
          <w:szCs w:val="24"/>
        </w:rPr>
        <w:t xml:space="preserve"> and progress on national EWS and identification of existing gaps, challenges and priorities. </w:t>
      </w:r>
      <w:r w:rsidR="00A14D8C" w:rsidRPr="00A14D8C">
        <w:rPr>
          <w:b/>
          <w:bCs/>
          <w:sz w:val="24"/>
          <w:szCs w:val="24"/>
        </w:rPr>
        <w:t xml:space="preserve">It is recommended that country level actors review existing gap analysis material and review the tool in advance so that the workshop is based on existing information.  </w:t>
      </w:r>
      <w:r w:rsidR="00A14D8C">
        <w:rPr>
          <w:sz w:val="24"/>
          <w:szCs w:val="24"/>
        </w:rPr>
        <w:t xml:space="preserve"> </w:t>
      </w:r>
    </w:p>
    <w:p w14:paraId="21071175" w14:textId="41DA1D79" w:rsidR="007C50B6" w:rsidRPr="007C50B6" w:rsidRDefault="007C50B6" w:rsidP="007C50B6">
      <w:pPr>
        <w:jc w:val="both"/>
        <w:rPr>
          <w:sz w:val="24"/>
          <w:szCs w:val="24"/>
        </w:rPr>
      </w:pPr>
      <w:r w:rsidRPr="007C50B6">
        <w:rPr>
          <w:sz w:val="24"/>
          <w:szCs w:val="24"/>
        </w:rPr>
        <w:t xml:space="preserve">This </w:t>
      </w:r>
      <w:r w:rsidR="00564427">
        <w:rPr>
          <w:sz w:val="24"/>
          <w:szCs w:val="24"/>
        </w:rPr>
        <w:t>technical workshop</w:t>
      </w:r>
      <w:r w:rsidRPr="007C50B6">
        <w:rPr>
          <w:sz w:val="24"/>
          <w:szCs w:val="24"/>
        </w:rPr>
        <w:t xml:space="preserve"> is led by [</w:t>
      </w:r>
      <w:r w:rsidR="00564427" w:rsidRPr="00564427">
        <w:rPr>
          <w:sz w:val="24"/>
          <w:szCs w:val="24"/>
          <w:highlight w:val="yellow"/>
        </w:rPr>
        <w:t xml:space="preserve">NATIONAL </w:t>
      </w:r>
      <w:r w:rsidRPr="00564427">
        <w:rPr>
          <w:sz w:val="24"/>
          <w:szCs w:val="24"/>
          <w:highlight w:val="yellow"/>
        </w:rPr>
        <w:t>AGENCY</w:t>
      </w:r>
      <w:r w:rsidRPr="007C50B6">
        <w:rPr>
          <w:sz w:val="24"/>
          <w:szCs w:val="24"/>
        </w:rPr>
        <w:t>], and co-organized with the UN Resident Coordinator’s Office, UNDRR, WMO</w:t>
      </w:r>
      <w:r w:rsidR="00564427">
        <w:rPr>
          <w:sz w:val="24"/>
          <w:szCs w:val="24"/>
        </w:rPr>
        <w:t xml:space="preserve">, ITU and IFRC. </w:t>
      </w:r>
    </w:p>
    <w:p w14:paraId="3243EE63" w14:textId="77777777" w:rsidR="00C44565" w:rsidRDefault="007C50B6" w:rsidP="007C50B6">
      <w:pPr>
        <w:pStyle w:val="Heading2"/>
        <w:rPr>
          <w:color w:val="0041A1"/>
          <w:sz w:val="28"/>
          <w:szCs w:val="28"/>
        </w:rPr>
      </w:pPr>
      <w:r w:rsidRPr="007C50B6">
        <w:rPr>
          <w:color w:val="0041A1"/>
          <w:sz w:val="28"/>
          <w:szCs w:val="28"/>
        </w:rPr>
        <w:t xml:space="preserve">OBJECTIVES </w:t>
      </w:r>
    </w:p>
    <w:p w14:paraId="4BF17558" w14:textId="3320D43C" w:rsidR="007C50B6" w:rsidRPr="00C44565" w:rsidRDefault="00C44565" w:rsidP="007C50B6">
      <w:pPr>
        <w:pStyle w:val="Heading2"/>
        <w:rPr>
          <w:rFonts w:asciiTheme="minorHAnsi" w:eastAsiaTheme="minorHAnsi" w:hAnsiTheme="minorHAnsi" w:cstheme="minorBidi"/>
          <w:b w:val="0"/>
          <w:caps w:val="0"/>
          <w:color w:val="17406D" w:themeColor="text2"/>
          <w:szCs w:val="24"/>
        </w:rPr>
      </w:pPr>
      <w:r>
        <w:rPr>
          <w:rFonts w:asciiTheme="minorHAnsi" w:eastAsiaTheme="minorHAnsi" w:hAnsiTheme="minorHAnsi" w:cstheme="minorBidi"/>
          <w:b w:val="0"/>
          <w:caps w:val="0"/>
          <w:color w:val="17406D" w:themeColor="text2"/>
          <w:szCs w:val="24"/>
        </w:rPr>
        <w:t xml:space="preserve">The </w:t>
      </w:r>
      <w:r w:rsidR="00564427">
        <w:rPr>
          <w:rFonts w:asciiTheme="minorHAnsi" w:eastAsiaTheme="minorHAnsi" w:hAnsiTheme="minorHAnsi" w:cstheme="minorBidi"/>
          <w:b w:val="0"/>
          <w:caps w:val="0"/>
          <w:color w:val="17406D" w:themeColor="text2"/>
          <w:szCs w:val="24"/>
        </w:rPr>
        <w:t xml:space="preserve">technical workshop </w:t>
      </w:r>
      <w:r w:rsidRPr="00C44565">
        <w:rPr>
          <w:rFonts w:asciiTheme="minorHAnsi" w:eastAsiaTheme="minorHAnsi" w:hAnsiTheme="minorHAnsi" w:cstheme="minorBidi"/>
          <w:b w:val="0"/>
          <w:caps w:val="0"/>
          <w:color w:val="17406D" w:themeColor="text2"/>
          <w:szCs w:val="24"/>
        </w:rPr>
        <w:t xml:space="preserve">on </w:t>
      </w:r>
      <w:r>
        <w:rPr>
          <w:rFonts w:asciiTheme="minorHAnsi" w:eastAsiaTheme="minorHAnsi" w:hAnsiTheme="minorHAnsi" w:cstheme="minorBidi"/>
          <w:b w:val="0"/>
          <w:caps w:val="0"/>
          <w:color w:val="17406D" w:themeColor="text2"/>
          <w:szCs w:val="24"/>
        </w:rPr>
        <w:t>E</w:t>
      </w:r>
      <w:r w:rsidRPr="00C44565">
        <w:rPr>
          <w:rFonts w:asciiTheme="minorHAnsi" w:eastAsiaTheme="minorHAnsi" w:hAnsiTheme="minorHAnsi" w:cstheme="minorBidi"/>
          <w:b w:val="0"/>
          <w:caps w:val="0"/>
          <w:color w:val="17406D" w:themeColor="text2"/>
          <w:szCs w:val="24"/>
        </w:rPr>
        <w:t xml:space="preserve">arly </w:t>
      </w:r>
      <w:r w:rsidR="00747EA7">
        <w:rPr>
          <w:rFonts w:asciiTheme="minorHAnsi" w:eastAsiaTheme="minorHAnsi" w:hAnsiTheme="minorHAnsi" w:cstheme="minorBidi"/>
          <w:b w:val="0"/>
          <w:caps w:val="0"/>
          <w:color w:val="17406D" w:themeColor="text2"/>
          <w:szCs w:val="24"/>
        </w:rPr>
        <w:t>W</w:t>
      </w:r>
      <w:r w:rsidRPr="00C44565">
        <w:rPr>
          <w:rFonts w:asciiTheme="minorHAnsi" w:eastAsiaTheme="minorHAnsi" w:hAnsiTheme="minorHAnsi" w:cstheme="minorBidi"/>
          <w:b w:val="0"/>
          <w:caps w:val="0"/>
          <w:color w:val="17406D" w:themeColor="text2"/>
          <w:szCs w:val="24"/>
        </w:rPr>
        <w:t>arning</w:t>
      </w:r>
      <w:r w:rsidR="00564427">
        <w:rPr>
          <w:rFonts w:asciiTheme="minorHAnsi" w:eastAsiaTheme="minorHAnsi" w:hAnsiTheme="minorHAnsi" w:cstheme="minorBidi"/>
          <w:b w:val="0"/>
          <w:caps w:val="0"/>
          <w:color w:val="17406D" w:themeColor="text2"/>
          <w:szCs w:val="24"/>
        </w:rPr>
        <w:t xml:space="preserve"> Systems Gap Analysis aims to achieve the following objectives</w:t>
      </w:r>
      <w:r>
        <w:rPr>
          <w:rFonts w:asciiTheme="minorHAnsi" w:eastAsiaTheme="minorHAnsi" w:hAnsiTheme="minorHAnsi" w:cstheme="minorBidi"/>
          <w:b w:val="0"/>
          <w:caps w:val="0"/>
          <w:color w:val="17406D" w:themeColor="text2"/>
          <w:szCs w:val="24"/>
        </w:rPr>
        <w:t>:</w:t>
      </w:r>
    </w:p>
    <w:p w14:paraId="6050654B" w14:textId="59D08E52" w:rsidR="007C50B6" w:rsidRDefault="00F31A25" w:rsidP="00F31A2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0B6B32">
        <w:rPr>
          <w:sz w:val="24"/>
          <w:szCs w:val="24"/>
        </w:rPr>
        <w:t xml:space="preserve">of existing components of national EWS, </w:t>
      </w:r>
      <w:r w:rsidR="004304C0">
        <w:rPr>
          <w:sz w:val="24"/>
          <w:szCs w:val="24"/>
        </w:rPr>
        <w:t xml:space="preserve">for pillars 1, 3 </w:t>
      </w:r>
      <w:r w:rsidR="00150DB6">
        <w:rPr>
          <w:sz w:val="24"/>
          <w:szCs w:val="24"/>
        </w:rPr>
        <w:t>&amp;</w:t>
      </w:r>
      <w:r w:rsidR="004304C0">
        <w:rPr>
          <w:sz w:val="24"/>
          <w:szCs w:val="24"/>
        </w:rPr>
        <w:t xml:space="preserve"> 4 as well as for</w:t>
      </w:r>
      <w:r w:rsidR="000B6B32">
        <w:rPr>
          <w:sz w:val="24"/>
          <w:szCs w:val="24"/>
        </w:rPr>
        <w:t xml:space="preserve"> cross-pillar dimensions, such as governance, stakeholder coordination, M&amp;E, etc.</w:t>
      </w:r>
    </w:p>
    <w:p w14:paraId="5EB3E597" w14:textId="278A5B36" w:rsidR="000B6B32" w:rsidRDefault="000B6B32" w:rsidP="00F31A2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Identification of gaps and opportunities to scale up the implementation of national EWS, improve their coverage, </w:t>
      </w:r>
      <w:proofErr w:type="gramStart"/>
      <w:r>
        <w:rPr>
          <w:sz w:val="24"/>
          <w:szCs w:val="24"/>
        </w:rPr>
        <w:t>delivery</w:t>
      </w:r>
      <w:proofErr w:type="gramEnd"/>
      <w:r>
        <w:rPr>
          <w:sz w:val="24"/>
          <w:szCs w:val="24"/>
        </w:rPr>
        <w:t xml:space="preserve"> and effectiveness</w:t>
      </w:r>
      <w:r w:rsidR="00A14D8C">
        <w:rPr>
          <w:sz w:val="24"/>
          <w:szCs w:val="24"/>
        </w:rPr>
        <w:t>.</w:t>
      </w:r>
    </w:p>
    <w:p w14:paraId="1C8158CE" w14:textId="3E8686CD" w:rsidR="00C44565" w:rsidRDefault="00C44565" w:rsidP="00C44565">
      <w:pPr>
        <w:pStyle w:val="Heading2"/>
        <w:rPr>
          <w:color w:val="0041A1"/>
          <w:sz w:val="28"/>
          <w:szCs w:val="28"/>
        </w:rPr>
      </w:pPr>
      <w:r w:rsidRPr="13504692">
        <w:rPr>
          <w:color w:val="0041A1"/>
          <w:sz w:val="28"/>
          <w:szCs w:val="28"/>
        </w:rPr>
        <w:lastRenderedPageBreak/>
        <w:t xml:space="preserve">Expected </w:t>
      </w:r>
      <w:r w:rsidR="0D027F98" w:rsidRPr="13504692">
        <w:rPr>
          <w:color w:val="0041A1"/>
          <w:sz w:val="28"/>
          <w:szCs w:val="28"/>
        </w:rPr>
        <w:t>Outcomes</w:t>
      </w:r>
      <w:r w:rsidRPr="13504692">
        <w:rPr>
          <w:color w:val="0041A1"/>
          <w:sz w:val="28"/>
          <w:szCs w:val="28"/>
        </w:rPr>
        <w:t xml:space="preserve"> </w:t>
      </w:r>
    </w:p>
    <w:p w14:paraId="1A8051F8" w14:textId="6D33D5C4" w:rsidR="00C44565" w:rsidRDefault="00C44565" w:rsidP="00C44565">
      <w:pPr>
        <w:pStyle w:val="Heading2"/>
        <w:rPr>
          <w:rFonts w:asciiTheme="minorHAnsi" w:eastAsiaTheme="minorHAnsi" w:hAnsiTheme="minorHAnsi" w:cstheme="minorBidi"/>
          <w:b w:val="0"/>
          <w:caps w:val="0"/>
          <w:color w:val="17406D" w:themeColor="text2"/>
          <w:szCs w:val="24"/>
        </w:rPr>
      </w:pPr>
      <w:r w:rsidRPr="00C44565">
        <w:rPr>
          <w:rFonts w:asciiTheme="minorHAnsi" w:eastAsiaTheme="minorHAnsi" w:hAnsiTheme="minorHAnsi" w:cstheme="minorBidi"/>
          <w:b w:val="0"/>
          <w:caps w:val="0"/>
          <w:color w:val="17406D" w:themeColor="text2"/>
          <w:szCs w:val="24"/>
        </w:rPr>
        <w:t xml:space="preserve">The </w:t>
      </w:r>
      <w:r w:rsidR="000B6B32">
        <w:rPr>
          <w:rFonts w:asciiTheme="minorHAnsi" w:eastAsiaTheme="minorHAnsi" w:hAnsiTheme="minorHAnsi" w:cstheme="minorBidi"/>
          <w:b w:val="0"/>
          <w:caps w:val="0"/>
          <w:color w:val="17406D" w:themeColor="text2"/>
          <w:szCs w:val="24"/>
        </w:rPr>
        <w:t xml:space="preserve">technical workshop </w:t>
      </w:r>
      <w:r w:rsidR="000B6B32" w:rsidRPr="00C44565">
        <w:rPr>
          <w:rFonts w:asciiTheme="minorHAnsi" w:eastAsiaTheme="minorHAnsi" w:hAnsiTheme="minorHAnsi" w:cstheme="minorBidi"/>
          <w:b w:val="0"/>
          <w:caps w:val="0"/>
          <w:color w:val="17406D" w:themeColor="text2"/>
          <w:szCs w:val="24"/>
        </w:rPr>
        <w:t xml:space="preserve">on </w:t>
      </w:r>
      <w:r w:rsidR="000B6B32">
        <w:rPr>
          <w:rFonts w:asciiTheme="minorHAnsi" w:eastAsiaTheme="minorHAnsi" w:hAnsiTheme="minorHAnsi" w:cstheme="minorBidi"/>
          <w:b w:val="0"/>
          <w:caps w:val="0"/>
          <w:color w:val="17406D" w:themeColor="text2"/>
          <w:szCs w:val="24"/>
        </w:rPr>
        <w:t>E</w:t>
      </w:r>
      <w:r w:rsidR="000B6B32" w:rsidRPr="00C44565">
        <w:rPr>
          <w:rFonts w:asciiTheme="minorHAnsi" w:eastAsiaTheme="minorHAnsi" w:hAnsiTheme="minorHAnsi" w:cstheme="minorBidi"/>
          <w:b w:val="0"/>
          <w:caps w:val="0"/>
          <w:color w:val="17406D" w:themeColor="text2"/>
          <w:szCs w:val="24"/>
        </w:rPr>
        <w:t xml:space="preserve">arly </w:t>
      </w:r>
      <w:r w:rsidR="000B6B32">
        <w:rPr>
          <w:rFonts w:asciiTheme="minorHAnsi" w:eastAsiaTheme="minorHAnsi" w:hAnsiTheme="minorHAnsi" w:cstheme="minorBidi"/>
          <w:b w:val="0"/>
          <w:caps w:val="0"/>
          <w:color w:val="17406D" w:themeColor="text2"/>
          <w:szCs w:val="24"/>
        </w:rPr>
        <w:t>W</w:t>
      </w:r>
      <w:r w:rsidR="000B6B32" w:rsidRPr="00C44565">
        <w:rPr>
          <w:rFonts w:asciiTheme="minorHAnsi" w:eastAsiaTheme="minorHAnsi" w:hAnsiTheme="minorHAnsi" w:cstheme="minorBidi"/>
          <w:b w:val="0"/>
          <w:caps w:val="0"/>
          <w:color w:val="17406D" w:themeColor="text2"/>
          <w:szCs w:val="24"/>
        </w:rPr>
        <w:t>arning</w:t>
      </w:r>
      <w:r w:rsidR="000B6B32">
        <w:rPr>
          <w:rFonts w:asciiTheme="minorHAnsi" w:eastAsiaTheme="minorHAnsi" w:hAnsiTheme="minorHAnsi" w:cstheme="minorBidi"/>
          <w:b w:val="0"/>
          <w:caps w:val="0"/>
          <w:color w:val="17406D" w:themeColor="text2"/>
          <w:szCs w:val="24"/>
        </w:rPr>
        <w:t xml:space="preserve"> Systems Gap Analysis aims to result in the following outcomes</w:t>
      </w:r>
      <w:r>
        <w:rPr>
          <w:rFonts w:asciiTheme="minorHAnsi" w:eastAsiaTheme="minorHAnsi" w:hAnsiTheme="minorHAnsi" w:cstheme="minorBidi"/>
          <w:b w:val="0"/>
          <w:caps w:val="0"/>
          <w:color w:val="17406D" w:themeColor="text2"/>
          <w:szCs w:val="24"/>
        </w:rPr>
        <w:t xml:space="preserve">: </w:t>
      </w:r>
    </w:p>
    <w:p w14:paraId="0E4C5F7F" w14:textId="7B182731" w:rsidR="00C44565" w:rsidRDefault="00C44565" w:rsidP="00C44565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C44565">
        <w:rPr>
          <w:sz w:val="24"/>
          <w:szCs w:val="24"/>
        </w:rPr>
        <w:t>A</w:t>
      </w:r>
      <w:r w:rsidR="000B6B32">
        <w:rPr>
          <w:sz w:val="24"/>
          <w:szCs w:val="24"/>
        </w:rPr>
        <w:t xml:space="preserve"> completed minimum core capability checklist for pillar</w:t>
      </w:r>
      <w:r w:rsidR="00E0796B">
        <w:rPr>
          <w:sz w:val="24"/>
          <w:szCs w:val="24"/>
        </w:rPr>
        <w:t>s 1, 3 and 4</w:t>
      </w:r>
      <w:r w:rsidR="000B6B32">
        <w:rPr>
          <w:sz w:val="24"/>
          <w:szCs w:val="24"/>
        </w:rPr>
        <w:t xml:space="preserve"> as well as for the inter-pillar domain</w:t>
      </w:r>
    </w:p>
    <w:p w14:paraId="1F9EA4BA" w14:textId="77251EE7" w:rsidR="00A14D8C" w:rsidRDefault="00A14D8C" w:rsidP="00C44565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Sharing of the status of the 4 pillars and inter-pillar domains</w:t>
      </w:r>
    </w:p>
    <w:p w14:paraId="2CD2E928" w14:textId="293FE762" w:rsidR="00C91B74" w:rsidRPr="00150DB6" w:rsidRDefault="00266602" w:rsidP="00150DB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 of priorities for technical support identified</w:t>
      </w:r>
      <w:r w:rsidR="00E0796B">
        <w:rPr>
          <w:sz w:val="24"/>
          <w:szCs w:val="24"/>
        </w:rPr>
        <w:t xml:space="preserve"> for all four pillars and inter-pillar </w:t>
      </w:r>
      <w:proofErr w:type="gramStart"/>
      <w:r w:rsidR="00E0796B">
        <w:rPr>
          <w:sz w:val="24"/>
          <w:szCs w:val="24"/>
        </w:rPr>
        <w:t>domain</w:t>
      </w:r>
      <w:proofErr w:type="gramEnd"/>
    </w:p>
    <w:p w14:paraId="4E29B98C" w14:textId="724CAC50" w:rsidR="00817F52" w:rsidRDefault="00817F52" w:rsidP="00817F52">
      <w:pPr>
        <w:pStyle w:val="Heading2"/>
        <w:rPr>
          <w:color w:val="0041A1"/>
          <w:sz w:val="28"/>
          <w:szCs w:val="28"/>
        </w:rPr>
      </w:pPr>
      <w:r w:rsidRPr="00817F52">
        <w:rPr>
          <w:color w:val="0041A1"/>
          <w:sz w:val="28"/>
          <w:szCs w:val="28"/>
        </w:rPr>
        <w:t xml:space="preserve">National Consultation on Early Warnings for All </w:t>
      </w:r>
    </w:p>
    <w:p w14:paraId="31C0044E" w14:textId="77777777" w:rsidR="00817F52" w:rsidRPr="00464714" w:rsidRDefault="00817F52" w:rsidP="00817F52">
      <w:pPr>
        <w:spacing w:after="0" w:line="240" w:lineRule="auto"/>
        <w:rPr>
          <w:rFonts w:cstheme="minorHAnsi"/>
          <w:b/>
          <w:bCs/>
          <w:sz w:val="20"/>
          <w:szCs w:val="20"/>
          <w:lang w:val="en-GB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795"/>
        <w:gridCol w:w="4680"/>
        <w:gridCol w:w="3240"/>
      </w:tblGrid>
      <w:tr w:rsidR="002A0F2E" w:rsidRPr="002A0F2E" w14:paraId="7CA6AC43" w14:textId="77777777" w:rsidTr="002B632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1A1"/>
            <w:vAlign w:val="center"/>
            <w:hideMark/>
          </w:tcPr>
          <w:p w14:paraId="2E71F303" w14:textId="77777777" w:rsidR="00817F52" w:rsidRPr="002A0F2E" w:rsidRDefault="00817F52" w:rsidP="002B6324">
            <w:pPr>
              <w:spacing w:after="0" w:line="288" w:lineRule="auto"/>
              <w:rPr>
                <w:color w:val="auto"/>
                <w:sz w:val="24"/>
                <w:szCs w:val="24"/>
              </w:rPr>
            </w:pPr>
            <w:r w:rsidRPr="002A0F2E">
              <w:rPr>
                <w:color w:val="auto"/>
                <w:sz w:val="24"/>
                <w:szCs w:val="24"/>
              </w:rPr>
              <w:t>Time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1A1"/>
            <w:vAlign w:val="center"/>
            <w:hideMark/>
          </w:tcPr>
          <w:p w14:paraId="6484894A" w14:textId="77777777" w:rsidR="00817F52" w:rsidRPr="002A0F2E" w:rsidRDefault="00817F52" w:rsidP="002B6324">
            <w:pPr>
              <w:spacing w:after="0" w:line="288" w:lineRule="auto"/>
              <w:rPr>
                <w:color w:val="auto"/>
                <w:sz w:val="24"/>
                <w:szCs w:val="24"/>
              </w:rPr>
            </w:pPr>
            <w:r w:rsidRPr="002A0F2E">
              <w:rPr>
                <w:color w:val="auto"/>
                <w:sz w:val="24"/>
                <w:szCs w:val="24"/>
              </w:rPr>
              <w:t>Activity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1A1"/>
            <w:vAlign w:val="center"/>
            <w:hideMark/>
          </w:tcPr>
          <w:p w14:paraId="4B93B57F" w14:textId="09041DD7" w:rsidR="00817F52" w:rsidRPr="002A0F2E" w:rsidRDefault="00817F52" w:rsidP="002B6324">
            <w:pPr>
              <w:spacing w:after="0" w:line="288" w:lineRule="auto"/>
              <w:rPr>
                <w:color w:val="auto"/>
                <w:sz w:val="24"/>
                <w:szCs w:val="24"/>
              </w:rPr>
            </w:pPr>
            <w:r w:rsidRPr="002A0F2E">
              <w:rPr>
                <w:color w:val="auto"/>
                <w:sz w:val="24"/>
                <w:szCs w:val="24"/>
              </w:rPr>
              <w:t>Facilitator</w:t>
            </w:r>
            <w:r w:rsidR="002A0F2E">
              <w:rPr>
                <w:color w:val="auto"/>
                <w:sz w:val="24"/>
                <w:szCs w:val="24"/>
              </w:rPr>
              <w:t>s</w:t>
            </w:r>
          </w:p>
        </w:tc>
      </w:tr>
      <w:tr w:rsidR="00817F52" w:rsidRPr="00C91B74" w14:paraId="7B5D7740" w14:textId="77777777" w:rsidTr="002B6324">
        <w:trPr>
          <w:trHeight w:val="53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9275" w14:textId="77777777" w:rsidR="00817F52" w:rsidRPr="00C91B74" w:rsidRDefault="00817F52" w:rsidP="002B6324">
            <w:pPr>
              <w:spacing w:after="0" w:line="288" w:lineRule="auto"/>
              <w:rPr>
                <w:sz w:val="24"/>
                <w:szCs w:val="24"/>
              </w:rPr>
            </w:pPr>
            <w:r w:rsidRPr="00C91B74">
              <w:rPr>
                <w:sz w:val="24"/>
                <w:szCs w:val="24"/>
              </w:rPr>
              <w:t>8:40 – 9:00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FC2" w14:textId="77350C74" w:rsidR="00817F52" w:rsidRPr="00C91B74" w:rsidRDefault="00817F52" w:rsidP="002B6324">
            <w:pPr>
              <w:spacing w:after="0" w:line="288" w:lineRule="auto"/>
              <w:rPr>
                <w:sz w:val="24"/>
                <w:szCs w:val="24"/>
              </w:rPr>
            </w:pPr>
            <w:r w:rsidRPr="00C91B74">
              <w:rPr>
                <w:sz w:val="24"/>
                <w:szCs w:val="24"/>
              </w:rPr>
              <w:t>Registration</w:t>
            </w:r>
          </w:p>
          <w:p w14:paraId="19CC535F" w14:textId="77777777" w:rsidR="00817F52" w:rsidRPr="00C91B74" w:rsidRDefault="00817F52" w:rsidP="002B6324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1856" w14:textId="77777777" w:rsidR="00817F52" w:rsidRPr="00C91B74" w:rsidRDefault="00817F52" w:rsidP="002B6324">
            <w:pPr>
              <w:spacing w:after="0" w:line="288" w:lineRule="auto"/>
              <w:rPr>
                <w:sz w:val="24"/>
                <w:szCs w:val="24"/>
              </w:rPr>
            </w:pPr>
          </w:p>
        </w:tc>
      </w:tr>
      <w:tr w:rsidR="00266602" w:rsidRPr="00C91B74" w14:paraId="550A69AD" w14:textId="77777777" w:rsidTr="002B632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D48D" w14:textId="56D49988" w:rsidR="00266602" w:rsidRPr="00C91B74" w:rsidRDefault="00266602" w:rsidP="002B6324">
            <w:pPr>
              <w:spacing w:after="0" w:line="288" w:lineRule="auto"/>
              <w:rPr>
                <w:sz w:val="24"/>
                <w:szCs w:val="24"/>
              </w:rPr>
            </w:pPr>
            <w:r w:rsidRPr="00C91B74">
              <w:rPr>
                <w:sz w:val="24"/>
                <w:szCs w:val="24"/>
              </w:rPr>
              <w:t>9:00 – 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8FD2" w14:textId="56D1993A" w:rsidR="002B6324" w:rsidRPr="00C91B74" w:rsidRDefault="00266602" w:rsidP="002B6324">
            <w:pPr>
              <w:spacing w:after="0" w:line="288" w:lineRule="auto"/>
              <w:rPr>
                <w:sz w:val="24"/>
                <w:szCs w:val="24"/>
              </w:rPr>
            </w:pPr>
            <w:r w:rsidRPr="00C91B74">
              <w:rPr>
                <w:sz w:val="24"/>
                <w:szCs w:val="24"/>
              </w:rPr>
              <w:t>Opening</w:t>
            </w:r>
            <w:r w:rsidR="002B6324">
              <w:rPr>
                <w:sz w:val="24"/>
                <w:szCs w:val="24"/>
              </w:rPr>
              <w:t xml:space="preserve"> &amp; </w:t>
            </w:r>
            <w:r w:rsidR="002B6324" w:rsidRPr="00C91B74">
              <w:rPr>
                <w:sz w:val="24"/>
                <w:szCs w:val="24"/>
              </w:rPr>
              <w:t xml:space="preserve">Introduction </w:t>
            </w:r>
            <w:r w:rsidR="002B6324">
              <w:rPr>
                <w:sz w:val="24"/>
                <w:szCs w:val="24"/>
              </w:rPr>
              <w:t>to</w:t>
            </w:r>
            <w:r w:rsidR="002B6324" w:rsidRPr="00C91B74">
              <w:rPr>
                <w:sz w:val="24"/>
                <w:szCs w:val="24"/>
              </w:rPr>
              <w:t xml:space="preserve"> </w:t>
            </w:r>
            <w:r w:rsidR="002B6324">
              <w:rPr>
                <w:sz w:val="24"/>
                <w:szCs w:val="24"/>
              </w:rPr>
              <w:t xml:space="preserve">Minimum core capability checklist </w:t>
            </w:r>
            <w:r w:rsidR="002B6324" w:rsidRPr="00C91B74">
              <w:rPr>
                <w:sz w:val="24"/>
                <w:szCs w:val="24"/>
              </w:rPr>
              <w:t xml:space="preserve"> </w:t>
            </w:r>
          </w:p>
          <w:p w14:paraId="734AFA43" w14:textId="410F4F78" w:rsidR="00266602" w:rsidRPr="00C91B74" w:rsidRDefault="00266602" w:rsidP="002B6324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2795" w14:textId="154C26EC" w:rsidR="00266602" w:rsidRPr="00C91B74" w:rsidRDefault="00266602" w:rsidP="002B6324">
            <w:pPr>
              <w:spacing w:after="0" w:line="288" w:lineRule="auto"/>
              <w:rPr>
                <w:sz w:val="24"/>
                <w:szCs w:val="24"/>
              </w:rPr>
            </w:pPr>
            <w:r w:rsidRPr="00C91B74">
              <w:rPr>
                <w:sz w:val="24"/>
                <w:szCs w:val="24"/>
              </w:rPr>
              <w:t>WMO/ UNDRR</w:t>
            </w:r>
            <w:r>
              <w:rPr>
                <w:sz w:val="24"/>
                <w:szCs w:val="24"/>
              </w:rPr>
              <w:t xml:space="preserve"> / ITU / IFRC</w:t>
            </w:r>
          </w:p>
        </w:tc>
      </w:tr>
      <w:tr w:rsidR="00266602" w:rsidRPr="00C91B74" w14:paraId="3F9622D1" w14:textId="77777777" w:rsidTr="002B6324">
        <w:trPr>
          <w:trHeight w:val="89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9AE8" w14:textId="36793F81" w:rsidR="00266602" w:rsidRPr="00C91B74" w:rsidRDefault="00266602" w:rsidP="002B6324">
            <w:pPr>
              <w:spacing w:after="0" w:line="288" w:lineRule="auto"/>
              <w:rPr>
                <w:sz w:val="24"/>
                <w:szCs w:val="24"/>
              </w:rPr>
            </w:pPr>
            <w:r w:rsidRPr="00C91B74">
              <w:rPr>
                <w:sz w:val="24"/>
                <w:szCs w:val="24"/>
              </w:rPr>
              <w:t>9:</w:t>
            </w:r>
            <w:r w:rsidR="002B6324">
              <w:rPr>
                <w:sz w:val="24"/>
                <w:szCs w:val="24"/>
              </w:rPr>
              <w:t>15</w:t>
            </w:r>
            <w:r w:rsidRPr="00C91B74">
              <w:rPr>
                <w:sz w:val="24"/>
                <w:szCs w:val="24"/>
              </w:rPr>
              <w:t xml:space="preserve"> – 10:30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2562" w14:textId="37F6A5E8" w:rsidR="00266602" w:rsidRPr="00C91B74" w:rsidRDefault="00266602" w:rsidP="002B6324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Breakout sessions: completing the </w:t>
            </w:r>
            <w:r w:rsidR="004304C0">
              <w:rPr>
                <w:sz w:val="24"/>
                <w:szCs w:val="24"/>
              </w:rPr>
              <w:t xml:space="preserve">pillar </w:t>
            </w:r>
            <w:r>
              <w:rPr>
                <w:sz w:val="24"/>
                <w:szCs w:val="24"/>
              </w:rPr>
              <w:t>checklist</w:t>
            </w:r>
            <w:r w:rsidR="002B6324">
              <w:rPr>
                <w:sz w:val="24"/>
                <w:szCs w:val="24"/>
              </w:rPr>
              <w:t xml:space="preserve"> (first group rotation)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03A8" w14:textId="3661445F" w:rsidR="00266602" w:rsidRPr="00C91B74" w:rsidRDefault="00266602" w:rsidP="002B6324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group for each pillar</w:t>
            </w:r>
          </w:p>
        </w:tc>
      </w:tr>
      <w:tr w:rsidR="002B6324" w:rsidRPr="00C91B74" w14:paraId="38C1D0FB" w14:textId="77777777" w:rsidTr="002B6324">
        <w:trPr>
          <w:trHeight w:val="38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DC27D25" w14:textId="503A918E" w:rsidR="002B6324" w:rsidRPr="00C91B74" w:rsidRDefault="002B6324" w:rsidP="002B6324">
            <w:pPr>
              <w:spacing w:after="0" w:line="288" w:lineRule="auto"/>
              <w:rPr>
                <w:sz w:val="24"/>
                <w:szCs w:val="24"/>
              </w:rPr>
            </w:pPr>
            <w:r w:rsidRPr="00C91B74">
              <w:rPr>
                <w:sz w:val="24"/>
                <w:szCs w:val="24"/>
              </w:rPr>
              <w:t>10.30</w:t>
            </w:r>
            <w:r w:rsidR="004304C0">
              <w:rPr>
                <w:sz w:val="24"/>
                <w:szCs w:val="24"/>
              </w:rPr>
              <w:t xml:space="preserve"> </w:t>
            </w:r>
            <w:r w:rsidRPr="00C91B74">
              <w:rPr>
                <w:sz w:val="24"/>
                <w:szCs w:val="24"/>
              </w:rPr>
              <w:t>-10.45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7EBB66A" w14:textId="4081A911" w:rsidR="002B6324" w:rsidRPr="00C91B74" w:rsidRDefault="002B6324" w:rsidP="002B6324">
            <w:pPr>
              <w:spacing w:after="0" w:line="288" w:lineRule="auto"/>
              <w:rPr>
                <w:sz w:val="24"/>
                <w:szCs w:val="24"/>
              </w:rPr>
            </w:pPr>
            <w:r w:rsidRPr="00C91B74">
              <w:rPr>
                <w:sz w:val="24"/>
                <w:szCs w:val="24"/>
              </w:rPr>
              <w:t>BREAK</w:t>
            </w:r>
          </w:p>
        </w:tc>
      </w:tr>
      <w:tr w:rsidR="00266602" w:rsidRPr="00C91B74" w14:paraId="0888373D" w14:textId="77777777" w:rsidTr="002B632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0A2B" w14:textId="21C651BD" w:rsidR="00266602" w:rsidRPr="00C91B74" w:rsidRDefault="00266602" w:rsidP="002B6324">
            <w:pPr>
              <w:spacing w:after="0" w:line="288" w:lineRule="auto"/>
              <w:rPr>
                <w:sz w:val="24"/>
                <w:szCs w:val="24"/>
              </w:rPr>
            </w:pPr>
            <w:r w:rsidRPr="00C91B74">
              <w:rPr>
                <w:sz w:val="24"/>
                <w:szCs w:val="24"/>
              </w:rPr>
              <w:t>10.45</w:t>
            </w:r>
            <w:r w:rsidR="004304C0">
              <w:rPr>
                <w:sz w:val="24"/>
                <w:szCs w:val="24"/>
              </w:rPr>
              <w:t xml:space="preserve"> </w:t>
            </w:r>
            <w:r w:rsidRPr="00C91B74">
              <w:rPr>
                <w:sz w:val="24"/>
                <w:szCs w:val="24"/>
              </w:rPr>
              <w:t>-12.30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FD6B" w14:textId="40AF5E85" w:rsidR="00266602" w:rsidRPr="00C91B74" w:rsidRDefault="00266602" w:rsidP="002B6324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Breakout sessions: completing the </w:t>
            </w:r>
            <w:r w:rsidR="004304C0">
              <w:rPr>
                <w:sz w:val="24"/>
                <w:szCs w:val="24"/>
              </w:rPr>
              <w:t xml:space="preserve">pillar </w:t>
            </w:r>
            <w:r>
              <w:rPr>
                <w:sz w:val="24"/>
                <w:szCs w:val="24"/>
              </w:rPr>
              <w:t>checklist</w:t>
            </w:r>
            <w:r w:rsidR="004304C0">
              <w:rPr>
                <w:sz w:val="24"/>
                <w:szCs w:val="24"/>
              </w:rPr>
              <w:t>s</w:t>
            </w:r>
            <w:r w:rsidR="002B6324">
              <w:rPr>
                <w:sz w:val="24"/>
                <w:szCs w:val="24"/>
              </w:rPr>
              <w:t xml:space="preserve"> (second group rotation)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DDFE" w14:textId="03D985C1" w:rsidR="00266602" w:rsidRPr="00C91B74" w:rsidRDefault="00266602" w:rsidP="002B6324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group for each pillar</w:t>
            </w:r>
          </w:p>
        </w:tc>
      </w:tr>
      <w:tr w:rsidR="002B6324" w:rsidRPr="00C91B74" w14:paraId="016359E5" w14:textId="77777777" w:rsidTr="002B6324">
        <w:trPr>
          <w:trHeight w:val="53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CBBCA3E" w14:textId="68A51FEA" w:rsidR="002B6324" w:rsidRPr="00C91B74" w:rsidRDefault="002B6324" w:rsidP="002B6324">
            <w:pPr>
              <w:spacing w:after="0" w:line="288" w:lineRule="auto"/>
              <w:rPr>
                <w:sz w:val="24"/>
                <w:szCs w:val="24"/>
              </w:rPr>
            </w:pPr>
            <w:r w:rsidRPr="00C91B74">
              <w:rPr>
                <w:sz w:val="24"/>
                <w:szCs w:val="24"/>
              </w:rPr>
              <w:t>12.30</w:t>
            </w:r>
            <w:r w:rsidR="004304C0">
              <w:rPr>
                <w:sz w:val="24"/>
                <w:szCs w:val="24"/>
              </w:rPr>
              <w:t xml:space="preserve"> </w:t>
            </w:r>
            <w:r w:rsidRPr="00C91B74">
              <w:rPr>
                <w:sz w:val="24"/>
                <w:szCs w:val="24"/>
              </w:rPr>
              <w:t>-13.30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79DF23F" w14:textId="2F62549D" w:rsidR="002B6324" w:rsidRPr="00C91B74" w:rsidRDefault="002B6324" w:rsidP="002B6324">
            <w:pPr>
              <w:spacing w:after="0" w:line="288" w:lineRule="auto"/>
              <w:rPr>
                <w:sz w:val="24"/>
                <w:szCs w:val="24"/>
              </w:rPr>
            </w:pPr>
            <w:r w:rsidRPr="00C91B74">
              <w:rPr>
                <w:sz w:val="24"/>
                <w:szCs w:val="24"/>
              </w:rPr>
              <w:t xml:space="preserve"> LUNCH</w:t>
            </w:r>
          </w:p>
        </w:tc>
      </w:tr>
      <w:tr w:rsidR="00266602" w:rsidRPr="00C91B74" w14:paraId="6D6E93FC" w14:textId="77777777" w:rsidTr="002B6324">
        <w:trPr>
          <w:trHeight w:val="89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552C" w14:textId="3B41DC17" w:rsidR="00266602" w:rsidRPr="00C91B74" w:rsidRDefault="00266602" w:rsidP="002B6324">
            <w:pPr>
              <w:spacing w:after="0" w:line="288" w:lineRule="auto"/>
              <w:rPr>
                <w:sz w:val="24"/>
                <w:szCs w:val="24"/>
              </w:rPr>
            </w:pPr>
            <w:r w:rsidRPr="00C91B74">
              <w:rPr>
                <w:sz w:val="24"/>
                <w:szCs w:val="24"/>
              </w:rPr>
              <w:t>13.30</w:t>
            </w:r>
            <w:r w:rsidR="004304C0">
              <w:rPr>
                <w:sz w:val="24"/>
                <w:szCs w:val="24"/>
              </w:rPr>
              <w:t xml:space="preserve"> </w:t>
            </w:r>
            <w:r w:rsidRPr="00C91B74">
              <w:rPr>
                <w:sz w:val="24"/>
                <w:szCs w:val="24"/>
              </w:rPr>
              <w:t>-15.</w:t>
            </w:r>
            <w:r w:rsidR="004304C0">
              <w:rPr>
                <w:sz w:val="24"/>
                <w:szCs w:val="24"/>
              </w:rPr>
              <w:t>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4E8E" w14:textId="2DF484D6" w:rsidR="00266602" w:rsidRPr="00C91B74" w:rsidRDefault="00266602" w:rsidP="002B6324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Breakout sessions: completing the </w:t>
            </w:r>
            <w:r w:rsidR="004304C0">
              <w:rPr>
                <w:sz w:val="24"/>
                <w:szCs w:val="24"/>
              </w:rPr>
              <w:t xml:space="preserve">inter-pillar </w:t>
            </w:r>
            <w:r>
              <w:rPr>
                <w:sz w:val="24"/>
                <w:szCs w:val="24"/>
              </w:rPr>
              <w:t>checklist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6D29" w14:textId="518D461E" w:rsidR="00266602" w:rsidRPr="00C91B74" w:rsidRDefault="00266602" w:rsidP="002B6324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group for each pillar</w:t>
            </w:r>
          </w:p>
        </w:tc>
      </w:tr>
      <w:tr w:rsidR="00266602" w:rsidRPr="00C91B74" w14:paraId="1DFB6CBB" w14:textId="77777777" w:rsidTr="002B6324">
        <w:trPr>
          <w:trHeight w:val="55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1F6F" w14:textId="47B30E8C" w:rsidR="00266602" w:rsidRPr="00C91B74" w:rsidRDefault="00266602" w:rsidP="002B6324">
            <w:pPr>
              <w:spacing w:after="0" w:line="288" w:lineRule="auto"/>
              <w:rPr>
                <w:sz w:val="24"/>
                <w:szCs w:val="24"/>
              </w:rPr>
            </w:pPr>
            <w:r w:rsidRPr="00C91B74">
              <w:rPr>
                <w:sz w:val="24"/>
                <w:szCs w:val="24"/>
              </w:rPr>
              <w:t>15.</w:t>
            </w:r>
            <w:r w:rsidR="004304C0">
              <w:rPr>
                <w:sz w:val="24"/>
                <w:szCs w:val="24"/>
              </w:rPr>
              <w:t xml:space="preserve">00 </w:t>
            </w:r>
            <w:r w:rsidRPr="00C91B74">
              <w:rPr>
                <w:sz w:val="24"/>
                <w:szCs w:val="24"/>
              </w:rPr>
              <w:t>-16.</w:t>
            </w:r>
            <w:r w:rsidR="002B6324">
              <w:rPr>
                <w:sz w:val="24"/>
                <w:szCs w:val="24"/>
              </w:rPr>
              <w:t>3</w:t>
            </w:r>
            <w:r w:rsidRPr="00C91B74">
              <w:rPr>
                <w:sz w:val="24"/>
                <w:szCs w:val="24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6823" w14:textId="469D46CE" w:rsidR="00266602" w:rsidRPr="00C91B74" w:rsidRDefault="002B6324" w:rsidP="002B632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Presentations in plenary: Pillars 1</w:t>
            </w:r>
            <w:r w:rsidR="004304C0">
              <w:rPr>
                <w:sz w:val="24"/>
                <w:szCs w:val="24"/>
              </w:rPr>
              <w:t>, 2 &amp; 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C2BC" w14:textId="30C9B1F7" w:rsidR="00266602" w:rsidRPr="00C91B74" w:rsidRDefault="002B6324" w:rsidP="002B6324">
            <w:pPr>
              <w:spacing w:after="0" w:line="288" w:lineRule="auto"/>
              <w:rPr>
                <w:sz w:val="24"/>
                <w:szCs w:val="24"/>
              </w:rPr>
            </w:pPr>
            <w:r w:rsidRPr="00C91B74">
              <w:rPr>
                <w:sz w:val="24"/>
                <w:szCs w:val="24"/>
              </w:rPr>
              <w:t>WMO/ UNDRR</w:t>
            </w:r>
            <w:r>
              <w:rPr>
                <w:sz w:val="24"/>
                <w:szCs w:val="24"/>
              </w:rPr>
              <w:t xml:space="preserve"> / ITU / IFRC</w:t>
            </w:r>
          </w:p>
        </w:tc>
      </w:tr>
      <w:tr w:rsidR="00266602" w:rsidRPr="00C91B74" w14:paraId="745C1BB3" w14:textId="77777777" w:rsidTr="002B632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11E2" w14:textId="03666DCE" w:rsidR="00266602" w:rsidRPr="00C91B74" w:rsidRDefault="00266602" w:rsidP="002B6324">
            <w:pPr>
              <w:spacing w:after="0" w:line="288" w:lineRule="auto"/>
              <w:rPr>
                <w:sz w:val="24"/>
                <w:szCs w:val="24"/>
              </w:rPr>
            </w:pPr>
            <w:r w:rsidRPr="00C91B74">
              <w:rPr>
                <w:sz w:val="24"/>
                <w:szCs w:val="24"/>
              </w:rPr>
              <w:t>16.</w:t>
            </w:r>
            <w:r w:rsidR="002B6324">
              <w:rPr>
                <w:sz w:val="24"/>
                <w:szCs w:val="24"/>
              </w:rPr>
              <w:t>3</w:t>
            </w:r>
            <w:r w:rsidRPr="00C91B74">
              <w:rPr>
                <w:sz w:val="24"/>
                <w:szCs w:val="24"/>
              </w:rPr>
              <w:t>0-17.</w:t>
            </w:r>
            <w:r w:rsidR="002B6324">
              <w:rPr>
                <w:sz w:val="24"/>
                <w:szCs w:val="24"/>
              </w:rPr>
              <w:t>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DDAC" w14:textId="1898C5F5" w:rsidR="00266602" w:rsidRPr="00C91B74" w:rsidRDefault="002B6324" w:rsidP="002B6324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Presentations in plenary: Pillar 4 and inter-pillar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EFC4" w14:textId="26F1C1E7" w:rsidR="00266602" w:rsidRPr="00C91B74" w:rsidRDefault="002B6324" w:rsidP="002B6324">
            <w:pPr>
              <w:spacing w:after="0" w:line="288" w:lineRule="auto"/>
              <w:rPr>
                <w:sz w:val="24"/>
                <w:szCs w:val="24"/>
              </w:rPr>
            </w:pPr>
            <w:r w:rsidRPr="00C91B74">
              <w:rPr>
                <w:sz w:val="24"/>
                <w:szCs w:val="24"/>
              </w:rPr>
              <w:t>WMO/ UNDRR</w:t>
            </w:r>
            <w:r>
              <w:rPr>
                <w:sz w:val="24"/>
                <w:szCs w:val="24"/>
              </w:rPr>
              <w:t xml:space="preserve"> / ITU / IFRC</w:t>
            </w:r>
          </w:p>
        </w:tc>
      </w:tr>
      <w:tr w:rsidR="00266602" w:rsidRPr="00C91B74" w14:paraId="0EC8CEB1" w14:textId="77777777" w:rsidTr="002B6324">
        <w:trPr>
          <w:trHeight w:val="51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98A4" w14:textId="35570A65" w:rsidR="00266602" w:rsidRPr="00C91B74" w:rsidRDefault="00266602" w:rsidP="002B6324">
            <w:pPr>
              <w:spacing w:after="0" w:line="288" w:lineRule="auto"/>
              <w:rPr>
                <w:sz w:val="24"/>
                <w:szCs w:val="24"/>
              </w:rPr>
            </w:pPr>
            <w:r w:rsidRPr="00C91B74">
              <w:rPr>
                <w:sz w:val="24"/>
                <w:szCs w:val="24"/>
              </w:rPr>
              <w:t>17.</w:t>
            </w:r>
            <w:r w:rsidR="002B6324">
              <w:rPr>
                <w:sz w:val="24"/>
                <w:szCs w:val="24"/>
              </w:rPr>
              <w:t>30</w:t>
            </w:r>
            <w:r w:rsidRPr="00C91B74">
              <w:rPr>
                <w:sz w:val="24"/>
                <w:szCs w:val="24"/>
              </w:rPr>
              <w:t>-18.00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93BB" w14:textId="4CE16422" w:rsidR="00266602" w:rsidRPr="00C91B74" w:rsidRDefault="002B6324" w:rsidP="002B6324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Way forward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6A11" w14:textId="30044B9C" w:rsidR="00266602" w:rsidRPr="00C91B74" w:rsidRDefault="002B6324" w:rsidP="002B6324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</w:tr>
    </w:tbl>
    <w:p w14:paraId="282C1058" w14:textId="77777777" w:rsidR="00B614C5" w:rsidRDefault="00B614C5"/>
    <w:sectPr w:rsidR="00B614C5" w:rsidSect="008C02B5">
      <w:headerReference w:type="default" r:id="rId12"/>
      <w:footerReference w:type="defaul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E03C" w14:textId="77777777" w:rsidR="008607EE" w:rsidRDefault="008607EE">
      <w:pPr>
        <w:spacing w:line="240" w:lineRule="auto"/>
      </w:pPr>
      <w:r>
        <w:separator/>
      </w:r>
    </w:p>
    <w:p w14:paraId="35244041" w14:textId="77777777" w:rsidR="008607EE" w:rsidRDefault="008607EE"/>
  </w:endnote>
  <w:endnote w:type="continuationSeparator" w:id="0">
    <w:p w14:paraId="07962449" w14:textId="77777777" w:rsidR="008607EE" w:rsidRDefault="008607EE">
      <w:pPr>
        <w:spacing w:line="240" w:lineRule="auto"/>
      </w:pPr>
      <w:r>
        <w:continuationSeparator/>
      </w:r>
    </w:p>
    <w:p w14:paraId="25FAB11B" w14:textId="77777777" w:rsidR="008607EE" w:rsidRDefault="00860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20326"/>
      <w:docPartObj>
        <w:docPartGallery w:val="Page Numbers (Bottom of Page)"/>
        <w:docPartUnique/>
      </w:docPartObj>
    </w:sdtPr>
    <w:sdtContent>
      <w:p w14:paraId="7F74A831" w14:textId="1BBC3201" w:rsidR="00D1084A" w:rsidRDefault="00FF0A65">
        <w:pPr>
          <w:pStyle w:val="Footer"/>
        </w:pPr>
        <w:r>
          <w:rPr>
            <w:noProof/>
          </w:rPr>
          <w:drawing>
            <wp:inline distT="0" distB="0" distL="0" distR="0" wp14:anchorId="1DD705F0" wp14:editId="00EE0C7B">
              <wp:extent cx="5238115" cy="991870"/>
              <wp:effectExtent l="0" t="0" r="0" b="0"/>
              <wp:docPr id="4" name="Picture 4" descr="A logo of the united nations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logo of the united nations&#10;&#10;Description automatically generated with low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38115" cy="9918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11EF" w14:textId="72641F24" w:rsidR="00B614C5" w:rsidRDefault="00B614C5">
    <w:pPr>
      <w:pStyle w:val="Footer"/>
    </w:pPr>
    <w:r>
      <w:rPr>
        <w:noProof/>
      </w:rPr>
      <w:drawing>
        <wp:inline distT="0" distB="0" distL="0" distR="0" wp14:anchorId="001AB24D" wp14:editId="2F3BF5E2">
          <wp:extent cx="5238115" cy="991870"/>
          <wp:effectExtent l="0" t="0" r="0" b="0"/>
          <wp:docPr id="3" name="Picture 3" descr="A logo of the united nation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of the united nations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8115" cy="991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7A6F" w14:textId="77777777" w:rsidR="008607EE" w:rsidRDefault="008607EE">
      <w:pPr>
        <w:spacing w:line="240" w:lineRule="auto"/>
      </w:pPr>
      <w:r>
        <w:separator/>
      </w:r>
    </w:p>
    <w:p w14:paraId="5F77E850" w14:textId="77777777" w:rsidR="008607EE" w:rsidRDefault="008607EE"/>
  </w:footnote>
  <w:footnote w:type="continuationSeparator" w:id="0">
    <w:p w14:paraId="376EC9B1" w14:textId="77777777" w:rsidR="008607EE" w:rsidRDefault="008607EE">
      <w:pPr>
        <w:spacing w:line="240" w:lineRule="auto"/>
      </w:pPr>
      <w:r>
        <w:continuationSeparator/>
      </w:r>
    </w:p>
    <w:p w14:paraId="303C6930" w14:textId="77777777" w:rsidR="008607EE" w:rsidRDefault="008607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D205" w14:textId="71E49EB4" w:rsidR="00FF0A65" w:rsidRDefault="00FF0A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609A7B" wp14:editId="57B69035">
          <wp:simplePos x="0" y="0"/>
          <wp:positionH relativeFrom="column">
            <wp:posOffset>3880017</wp:posOffset>
          </wp:positionH>
          <wp:positionV relativeFrom="paragraph">
            <wp:posOffset>-42358</wp:posOffset>
          </wp:positionV>
          <wp:extent cx="1422400" cy="1460500"/>
          <wp:effectExtent l="0" t="0" r="0" b="0"/>
          <wp:wrapTopAndBottom/>
          <wp:docPr id="6" name="Picture 6" descr="A picture containing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de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400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8CBB567" wp14:editId="7842F1E5">
          <wp:simplePos x="0" y="0"/>
          <wp:positionH relativeFrom="column">
            <wp:posOffset>113956</wp:posOffset>
          </wp:positionH>
          <wp:positionV relativeFrom="paragraph">
            <wp:posOffset>236855</wp:posOffset>
          </wp:positionV>
          <wp:extent cx="1803400" cy="1117600"/>
          <wp:effectExtent l="0" t="0" r="0" b="0"/>
          <wp:wrapTopAndBottom/>
          <wp:docPr id="5" name="Picture 5" descr="A picture containing font, graphics, logo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font, graphics, logo, graphic desig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3400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7DBC"/>
    <w:multiLevelType w:val="hybridMultilevel"/>
    <w:tmpl w:val="7CB6CD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4759DC"/>
    <w:multiLevelType w:val="hybridMultilevel"/>
    <w:tmpl w:val="4704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A30FC5"/>
    <w:multiLevelType w:val="hybridMultilevel"/>
    <w:tmpl w:val="434E8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07496"/>
    <w:multiLevelType w:val="hybridMultilevel"/>
    <w:tmpl w:val="D0D63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5B678F"/>
    <w:multiLevelType w:val="hybridMultilevel"/>
    <w:tmpl w:val="631A7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773DB5"/>
    <w:multiLevelType w:val="hybridMultilevel"/>
    <w:tmpl w:val="31643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6385376">
    <w:abstractNumId w:val="5"/>
  </w:num>
  <w:num w:numId="2" w16cid:durableId="1782997151">
    <w:abstractNumId w:val="3"/>
  </w:num>
  <w:num w:numId="3" w16cid:durableId="284879">
    <w:abstractNumId w:val="1"/>
  </w:num>
  <w:num w:numId="4" w16cid:durableId="1300963183">
    <w:abstractNumId w:val="2"/>
  </w:num>
  <w:num w:numId="5" w16cid:durableId="135756148">
    <w:abstractNumId w:val="4"/>
  </w:num>
  <w:num w:numId="6" w16cid:durableId="199814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26"/>
    <w:rsid w:val="00025432"/>
    <w:rsid w:val="00032934"/>
    <w:rsid w:val="00045A2A"/>
    <w:rsid w:val="0006499A"/>
    <w:rsid w:val="00094611"/>
    <w:rsid w:val="000B11D2"/>
    <w:rsid w:val="000B6B32"/>
    <w:rsid w:val="00150DB6"/>
    <w:rsid w:val="0015571F"/>
    <w:rsid w:val="00230612"/>
    <w:rsid w:val="00237B06"/>
    <w:rsid w:val="00266602"/>
    <w:rsid w:val="002740DB"/>
    <w:rsid w:val="002919EB"/>
    <w:rsid w:val="002A0F2E"/>
    <w:rsid w:val="002B6324"/>
    <w:rsid w:val="002F398F"/>
    <w:rsid w:val="00320BA1"/>
    <w:rsid w:val="00386BA8"/>
    <w:rsid w:val="003A3F7A"/>
    <w:rsid w:val="003B21CD"/>
    <w:rsid w:val="004013A2"/>
    <w:rsid w:val="004304C0"/>
    <w:rsid w:val="00442F56"/>
    <w:rsid w:val="004A1A28"/>
    <w:rsid w:val="00564427"/>
    <w:rsid w:val="0061115E"/>
    <w:rsid w:val="00617AE0"/>
    <w:rsid w:val="00671CA0"/>
    <w:rsid w:val="0070501E"/>
    <w:rsid w:val="0070714E"/>
    <w:rsid w:val="0073647B"/>
    <w:rsid w:val="00747EA7"/>
    <w:rsid w:val="00761726"/>
    <w:rsid w:val="007826AB"/>
    <w:rsid w:val="007C50B6"/>
    <w:rsid w:val="00802890"/>
    <w:rsid w:val="00813DF3"/>
    <w:rsid w:val="00817F52"/>
    <w:rsid w:val="00837E07"/>
    <w:rsid w:val="008574C2"/>
    <w:rsid w:val="008607EE"/>
    <w:rsid w:val="008C02B5"/>
    <w:rsid w:val="008E054E"/>
    <w:rsid w:val="00A14D8C"/>
    <w:rsid w:val="00A558B2"/>
    <w:rsid w:val="00AB76F7"/>
    <w:rsid w:val="00AD2707"/>
    <w:rsid w:val="00B3562D"/>
    <w:rsid w:val="00B614C5"/>
    <w:rsid w:val="00B72E1C"/>
    <w:rsid w:val="00B86EF8"/>
    <w:rsid w:val="00BA0CBE"/>
    <w:rsid w:val="00C13EC2"/>
    <w:rsid w:val="00C44565"/>
    <w:rsid w:val="00C47CF8"/>
    <w:rsid w:val="00C91B74"/>
    <w:rsid w:val="00CC6FE1"/>
    <w:rsid w:val="00D03AC5"/>
    <w:rsid w:val="00D1084A"/>
    <w:rsid w:val="00D31DE1"/>
    <w:rsid w:val="00D4257D"/>
    <w:rsid w:val="00D463AE"/>
    <w:rsid w:val="00DA17DF"/>
    <w:rsid w:val="00DF618D"/>
    <w:rsid w:val="00E0796B"/>
    <w:rsid w:val="00F31A25"/>
    <w:rsid w:val="00F57917"/>
    <w:rsid w:val="00FF0A65"/>
    <w:rsid w:val="00FF775D"/>
    <w:rsid w:val="0D027F98"/>
    <w:rsid w:val="13504692"/>
    <w:rsid w:val="2A52393A"/>
    <w:rsid w:val="368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D9E595"/>
  <w15:chartTrackingRefBased/>
  <w15:docId w15:val="{4A47293C-4F97-C14A-8EEB-F9A52AA5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7406D" w:themeColor="text2"/>
        <w:sz w:val="28"/>
        <w:szCs w:val="28"/>
        <w:lang w:val="en-US" w:eastAsia="ja-JP" w:bidi="ar-SA"/>
      </w:rPr>
    </w:rPrDefault>
    <w:pPrDefault>
      <w:pPr>
        <w:spacing w:after="3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3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37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8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5"/>
    <w:qFormat/>
    <w:pPr>
      <w:keepNext/>
      <w:keepLines/>
      <w:spacing w:after="280" w:line="264" w:lineRule="auto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6"/>
    <w:qFormat/>
    <w:pPr>
      <w:keepNext/>
      <w:keepLines/>
      <w:spacing w:before="140" w:after="120" w:line="264" w:lineRule="auto"/>
      <w:outlineLvl w:val="1"/>
    </w:pPr>
    <w:rPr>
      <w:rFonts w:asciiTheme="majorHAnsi" w:eastAsiaTheme="majorEastAsia" w:hAnsiTheme="majorHAnsi" w:cstheme="majorBidi"/>
      <w:b/>
      <w:caps/>
      <w:color w:val="0F6FC6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7"/>
    <w:semiHidden/>
    <w:unhideWhenUsed/>
    <w:qFormat/>
    <w:pPr>
      <w:keepNext/>
      <w:keepLines/>
      <w:spacing w:before="140" w:after="120" w:line="264" w:lineRule="auto"/>
      <w:outlineLvl w:val="2"/>
    </w:pPr>
    <w:rPr>
      <w:rFonts w:asciiTheme="majorHAnsi" w:eastAsiaTheme="majorEastAsia" w:hAnsiTheme="majorHAnsi" w:cstheme="majorBidi"/>
      <w:b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40" w:after="120" w:line="264" w:lineRule="auto"/>
      <w:outlineLvl w:val="3"/>
    </w:pPr>
    <w:rPr>
      <w:rFonts w:asciiTheme="majorHAnsi" w:eastAsiaTheme="majorEastAsia" w:hAnsiTheme="majorHAnsi" w:cstheme="majorBidi"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140" w:after="120" w:line="264" w:lineRule="auto"/>
      <w:outlineLvl w:val="4"/>
    </w:pPr>
    <w:rPr>
      <w:rFonts w:asciiTheme="majorHAnsi" w:eastAsiaTheme="majorEastAsia" w:hAnsiTheme="majorHAnsi" w:cstheme="majorBidi"/>
      <w:b/>
      <w:caps/>
      <w:color w:val="0F6FC6" w:themeColor="accent1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40" w:after="120" w:line="264" w:lineRule="auto"/>
      <w:outlineLvl w:val="5"/>
    </w:pPr>
    <w:rPr>
      <w:rFonts w:asciiTheme="majorHAnsi" w:eastAsiaTheme="majorEastAsia" w:hAnsiTheme="majorHAnsi" w:cstheme="majorBidi"/>
      <w:caps/>
      <w:color w:val="0F6FC6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140" w:after="120" w:line="264" w:lineRule="auto"/>
      <w:outlineLvl w:val="6"/>
    </w:pPr>
    <w:rPr>
      <w:rFonts w:asciiTheme="majorHAnsi" w:eastAsiaTheme="majorEastAsia" w:hAnsiTheme="majorHAnsi" w:cstheme="majorBidi"/>
      <w:b/>
      <w:iCs/>
      <w:caps/>
      <w:color w:val="4389D7" w:themeColor="text2" w:themeTint="99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40" w:after="120" w:line="264" w:lineRule="auto"/>
      <w:outlineLvl w:val="7"/>
    </w:pPr>
    <w:rPr>
      <w:rFonts w:asciiTheme="majorHAnsi" w:eastAsiaTheme="majorEastAsia" w:hAnsiTheme="majorHAnsi" w:cstheme="majorBidi"/>
      <w:caps/>
      <w:color w:val="4389D7" w:themeColor="text2" w:themeTint="99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140" w:after="120" w:line="264" w:lineRule="auto"/>
      <w:outlineLvl w:val="8"/>
    </w:pPr>
    <w:rPr>
      <w:rFonts w:asciiTheme="majorHAnsi" w:eastAsiaTheme="majorEastAsia" w:hAnsiTheme="majorHAnsi" w:cstheme="majorBidi"/>
      <w:b/>
      <w:iCs/>
      <w:caps/>
      <w:color w:val="0F6FC6" w:themeColor="accen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ipJournalTable">
    <w:name w:val="Trip Journal Table"/>
    <w:basedOn w:val="TableNormal"/>
    <w:uiPriority w:val="99"/>
    <w:tblPr>
      <w:tblBorders>
        <w:top w:val="single" w:sz="36" w:space="0" w:color="17406D" w:themeColor="text2"/>
        <w:insideH w:val="single" w:sz="12" w:space="0" w:color="17406D" w:themeColor="text2"/>
      </w:tblBorders>
      <w:tblCellMar>
        <w:top w:w="288" w:type="dxa"/>
        <w:left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color w:val="4389D7" w:themeColor="text2" w:themeTint="99"/>
      <w:sz w:val="44"/>
    </w:rPr>
  </w:style>
  <w:style w:type="character" w:customStyle="1" w:styleId="FooterChar">
    <w:name w:val="Footer Char"/>
    <w:basedOn w:val="DefaultParagraphFont"/>
    <w:link w:val="Footer"/>
    <w:uiPriority w:val="99"/>
    <w:rPr>
      <w:color w:val="4389D7" w:themeColor="text2" w:themeTint="99"/>
      <w:sz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Heading1"/>
    <w:link w:val="DateChar"/>
    <w:uiPriority w:val="3"/>
    <w:unhideWhenUsed/>
    <w:qFormat/>
    <w:pPr>
      <w:pBdr>
        <w:bottom w:val="single" w:sz="36" w:space="9" w:color="17406D" w:themeColor="text2"/>
      </w:pBdr>
      <w:spacing w:after="280" w:line="240" w:lineRule="auto"/>
    </w:pPr>
    <w:rPr>
      <w:b/>
      <w:caps/>
      <w:sz w:val="34"/>
    </w:rPr>
  </w:style>
  <w:style w:type="character" w:customStyle="1" w:styleId="DateChar">
    <w:name w:val="Date Char"/>
    <w:basedOn w:val="DefaultParagraphFont"/>
    <w:link w:val="Date"/>
    <w:uiPriority w:val="3"/>
    <w:rPr>
      <w:b/>
      <w:caps/>
      <w:sz w:val="34"/>
    </w:rPr>
  </w:style>
  <w:style w:type="paragraph" w:styleId="Title">
    <w:name w:val="Title"/>
    <w:basedOn w:val="Normal"/>
    <w:next w:val="Subtitle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paragraph" w:styleId="Subtitle">
    <w:name w:val="Subtitle"/>
    <w:basedOn w:val="Normal"/>
    <w:next w:val="Date"/>
    <w:link w:val="SubtitleChar"/>
    <w:uiPriority w:val="2"/>
    <w:qFormat/>
    <w:pPr>
      <w:numPr>
        <w:ilvl w:val="1"/>
      </w:numPr>
      <w:spacing w:after="260"/>
      <w:contextualSpacing/>
    </w:pPr>
    <w:rPr>
      <w:rFonts w:asciiTheme="majorHAnsi" w:eastAsiaTheme="minorEastAsia" w:hAnsiTheme="majorHAnsi"/>
      <w:caps/>
      <w:sz w:val="8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caps/>
      <w:sz w:val="88"/>
      <w:szCs w:val="22"/>
    </w:rPr>
  </w:style>
  <w:style w:type="character" w:customStyle="1" w:styleId="Heading1Char">
    <w:name w:val="Heading 1 Char"/>
    <w:basedOn w:val="DefaultParagraphFont"/>
    <w:link w:val="Heading1"/>
    <w:uiPriority w:val="5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Pr>
      <w:rFonts w:asciiTheme="majorHAnsi" w:eastAsiaTheme="majorEastAsia" w:hAnsiTheme="majorHAnsi" w:cstheme="majorBidi"/>
      <w:b/>
      <w:caps/>
      <w:color w:val="0F6FC6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semiHidden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ap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F6FC6" w:themeColor="accen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aps/>
      <w:color w:val="0F6FC6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aps/>
      <w:color w:val="4389D7" w:themeColor="text2" w:themeTint="99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aps/>
      <w:color w:val="4389D7" w:themeColor="text2" w:themeTint="99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0F6FC6" w:themeColor="accent1"/>
      <w:sz w:val="16"/>
      <w:szCs w:val="21"/>
    </w:rPr>
  </w:style>
  <w:style w:type="paragraph" w:styleId="Quote">
    <w:name w:val="Quote"/>
    <w:basedOn w:val="Normal"/>
    <w:next w:val="Normal"/>
    <w:link w:val="QuoteChar"/>
    <w:uiPriority w:val="37"/>
    <w:semiHidden/>
    <w:unhideWhenUsed/>
    <w:qFormat/>
    <w:pPr>
      <w:spacing w:before="260" w:after="260"/>
      <w:contextualSpacing/>
    </w:pPr>
    <w:rPr>
      <w:iCs/>
      <w:sz w:val="40"/>
    </w:rPr>
  </w:style>
  <w:style w:type="character" w:customStyle="1" w:styleId="QuoteChar">
    <w:name w:val="Quote Char"/>
    <w:basedOn w:val="DefaultParagraphFont"/>
    <w:link w:val="Quote"/>
    <w:uiPriority w:val="37"/>
    <w:semiHidden/>
    <w:rPr>
      <w:iCs/>
      <w:sz w:val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60" w:after="260"/>
      <w:contextualSpacing/>
    </w:pPr>
    <w:rPr>
      <w:iCs/>
      <w:color w:val="0F6FC6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Cs/>
      <w:color w:val="0F6FC6" w:themeColor="accent1"/>
      <w:sz w:val="40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character" w:styleId="BookTitle">
    <w:name w:val="Book Title"/>
    <w:basedOn w:val="DefaultParagraphFont"/>
    <w:uiPriority w:val="33"/>
    <w:semiHidden/>
    <w:unhideWhenUsed/>
    <w:qFormat/>
    <w:rPr>
      <w:rFonts w:asciiTheme="majorHAnsi" w:hAnsiTheme="majorHAnsi"/>
      <w:b w:val="0"/>
      <w:bCs/>
      <w:i w:val="0"/>
      <w:iCs/>
      <w:spacing w:val="0"/>
      <w:sz w:val="28"/>
      <w:u w:val="single" w:color="17406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20"/>
      <w:szCs w:val="18"/>
    </w:rPr>
  </w:style>
  <w:style w:type="character" w:styleId="IntenseEmphasis">
    <w:name w:val="Intense Emphasis"/>
    <w:basedOn w:val="DefaultParagraphFont"/>
    <w:uiPriority w:val="28"/>
    <w:semiHidden/>
    <w:unhideWhenUsed/>
    <w:qFormat/>
    <w:rPr>
      <w:b/>
      <w:i w:val="0"/>
      <w:iCs/>
      <w:color w:val="0F6FC6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0F6FC6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17406D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17406D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17406D" w:themeColor="text2"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4389D7" w:themeColor="text2" w:themeTint="99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rsid w:val="007C50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50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50B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C50B6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0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1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eventionweb.net/publication/early-warnings-all-executive-action-plan-2023-202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ra/Library/Containers/com.microsoft.Word/Data/Library/Application%20Support/Microsoft/Office/16.0/DTS/en-GB%7b1597C9C2-F0E4-2245-BF84-A6407AFD5CA2%7d/%7b3F45DC64-2FDB-DA40-ABB5-15E3BE6D8F96%7dtf10002070.dotx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Trip_Journal_Fonts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82d4b0-c4fa-4fff-8f4a-3b1b59640f76" xsi:nil="true"/>
    <lcf76f155ced4ddcb4097134ff3c332f xmlns="ff216948-1be2-463a-bbf1-364bfaded1f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D215A2D3AAA4EADDD28F84A6B833E" ma:contentTypeVersion="13" ma:contentTypeDescription="Create a new document." ma:contentTypeScope="" ma:versionID="fe0ec7845ad158e6f4f6ddfe81b9c467">
  <xsd:schema xmlns:xsd="http://www.w3.org/2001/XMLSchema" xmlns:xs="http://www.w3.org/2001/XMLSchema" xmlns:p="http://schemas.microsoft.com/office/2006/metadata/properties" xmlns:ns2="ff216948-1be2-463a-bbf1-364bfaded1fe" xmlns:ns3="6a82d4b0-c4fa-4fff-8f4a-3b1b59640f76" targetNamespace="http://schemas.microsoft.com/office/2006/metadata/properties" ma:root="true" ma:fieldsID="dcd9b6449891cb9c154ba995fac89961" ns2:_="" ns3:_="">
    <xsd:import namespace="ff216948-1be2-463a-bbf1-364bfaded1fe"/>
    <xsd:import namespace="6a82d4b0-c4fa-4fff-8f4a-3b1b59640f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6948-1be2-463a-bbf1-364bfaded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2d4b0-c4fa-4fff-8f4a-3b1b59640f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312852-b47a-48ec-bf91-c3a12e6f5ac4}" ma:internalName="TaxCatchAll" ma:showField="CatchAllData" ma:web="6a82d4b0-c4fa-4fff-8f4a-3b1b59640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51329-2325-4B47-A6A9-2E5E7D9E02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66636-F009-5A4A-8102-D772673B36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0834B3-DBE6-4053-8639-D6C0626B9742}">
  <ds:schemaRefs>
    <ds:schemaRef ds:uri="http://schemas.microsoft.com/office/2006/metadata/properties"/>
    <ds:schemaRef ds:uri="http://schemas.microsoft.com/office/infopath/2007/PartnerControls"/>
    <ds:schemaRef ds:uri="6a82d4b0-c4fa-4fff-8f4a-3b1b59640f76"/>
    <ds:schemaRef ds:uri="ff216948-1be2-463a-bbf1-364bfaded1fe"/>
  </ds:schemaRefs>
</ds:datastoreItem>
</file>

<file path=customXml/itemProps4.xml><?xml version="1.0" encoding="utf-8"?>
<ds:datastoreItem xmlns:ds="http://schemas.openxmlformats.org/officeDocument/2006/customXml" ds:itemID="{D389D3CB-2484-4670-A81E-1736E3ADC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16948-1be2-463a-bbf1-364bfaded1fe"/>
    <ds:schemaRef ds:uri="6a82d4b0-c4fa-4fff-8f4a-3b1b59640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{3F45DC64-2FDB-DA40-ABB5-15E3BE6D8F96}tf10002070.dotx</Template>
  <TotalTime>6</TotalTime>
  <Pages>5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Markova</dc:creator>
  <cp:keywords/>
  <dc:description/>
  <cp:lastModifiedBy>Loretta Hieber Girardet</cp:lastModifiedBy>
  <cp:revision>3</cp:revision>
  <dcterms:created xsi:type="dcterms:W3CDTF">2023-05-28T18:53:00Z</dcterms:created>
  <dcterms:modified xsi:type="dcterms:W3CDTF">2023-05-28T18:58:00Z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TF10002003</vt:lpwstr>
  </property>
  <property fmtid="{D5CDD505-2E9C-101B-9397-08002B2CF9AE}" pid="3" name="ContentTypeId">
    <vt:lpwstr>0x010100AFCD215A2D3AAA4EADDD28F84A6B833E</vt:lpwstr>
  </property>
  <property fmtid="{D5CDD505-2E9C-101B-9397-08002B2CF9AE}" pid="4" name="MediaServiceImageTags">
    <vt:lpwstr/>
  </property>
</Properties>
</file>