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AA6F" w14:textId="312D90E8" w:rsidR="004D3785" w:rsidRPr="00AB09E4" w:rsidRDefault="00A56CE2" w:rsidP="00A56CE2">
      <w:pPr>
        <w:pStyle w:val="lead-text"/>
        <w:shd w:val="clear" w:color="auto" w:fill="FFFFFF"/>
        <w:spacing w:before="0" w:beforeAutospacing="0" w:after="240" w:afterAutospacing="0"/>
        <w:jc w:val="center"/>
        <w:rPr>
          <w:rFonts w:ascii="Verdana" w:hAnsi="Verdana" w:cstheme="minorHAnsi"/>
          <w:b/>
          <w:bCs/>
          <w:lang w:val="fr-CH"/>
        </w:rPr>
      </w:pPr>
      <w:r w:rsidRPr="00AB09E4">
        <w:rPr>
          <w:rFonts w:ascii="Verdana" w:hAnsi="Verdana" w:cstheme="minorHAnsi"/>
          <w:b/>
          <w:bCs/>
          <w:lang w:val="fr-FR"/>
        </w:rPr>
        <w:t>CONSULTATION NATIONALE SUR L</w:t>
      </w:r>
      <w:r w:rsidR="00494BC8">
        <w:rPr>
          <w:rFonts w:ascii="Verdana" w:hAnsi="Verdana" w:cstheme="minorHAnsi"/>
          <w:b/>
          <w:bCs/>
          <w:lang w:val="fr-FR"/>
        </w:rPr>
        <w:t>’</w:t>
      </w:r>
      <w:r w:rsidRPr="00AB09E4">
        <w:rPr>
          <w:rFonts w:ascii="Verdana" w:hAnsi="Verdana" w:cstheme="minorHAnsi"/>
          <w:b/>
          <w:bCs/>
          <w:lang w:val="fr-FR"/>
        </w:rPr>
        <w:t>INITIATIVE</w:t>
      </w:r>
      <w:r w:rsidR="00F420C9" w:rsidRPr="00AB09E4">
        <w:rPr>
          <w:rFonts w:ascii="Verdana" w:hAnsi="Verdana" w:cstheme="minorHAnsi"/>
          <w:b/>
          <w:bCs/>
          <w:lang w:val="fr-FR"/>
        </w:rPr>
        <w:br/>
      </w:r>
      <w:r w:rsidR="008A6687" w:rsidRPr="00AB09E4">
        <w:rPr>
          <w:rFonts w:ascii="Verdana" w:hAnsi="Verdana" w:cstheme="minorHAnsi"/>
          <w:b/>
          <w:bCs/>
          <w:lang w:val="fr-FR"/>
        </w:rPr>
        <w:t>«</w:t>
      </w:r>
      <w:r w:rsidRPr="00AB09E4">
        <w:rPr>
          <w:rFonts w:ascii="Verdana" w:hAnsi="Verdana" w:cstheme="minorHAnsi"/>
          <w:b/>
          <w:bCs/>
          <w:lang w:val="fr-FR"/>
        </w:rPr>
        <w:t>ALERTES PRÉCOCES POUR TOUS</w:t>
      </w:r>
      <w:r w:rsidR="008A6687" w:rsidRPr="00AB09E4">
        <w:rPr>
          <w:rFonts w:ascii="Verdana" w:hAnsi="Verdana" w:cstheme="minorHAnsi"/>
          <w:b/>
          <w:bCs/>
          <w:lang w:val="fr-FR"/>
        </w:rPr>
        <w:t>»</w:t>
      </w:r>
      <w:r w:rsidRPr="00AB09E4">
        <w:rPr>
          <w:rFonts w:ascii="Verdana" w:hAnsi="Verdana" w:cstheme="minorHAnsi"/>
          <w:b/>
          <w:bCs/>
          <w:lang w:val="fr-FR"/>
        </w:rPr>
        <w:t xml:space="preserve"> (EW4ALL)</w:t>
      </w:r>
    </w:p>
    <w:p w14:paraId="7C180E66" w14:textId="7A3BF716" w:rsidR="0012157A" w:rsidRPr="002F5892" w:rsidRDefault="002F5892" w:rsidP="00AB09E4">
      <w:pPr>
        <w:pStyle w:val="Subtitle"/>
        <w:spacing w:after="480" w:line="240" w:lineRule="auto"/>
        <w:jc w:val="center"/>
        <w:rPr>
          <w:rFonts w:ascii="Verdana" w:hAnsi="Verdana"/>
          <w:sz w:val="20"/>
          <w:szCs w:val="20"/>
        </w:rPr>
      </w:pPr>
      <w:r w:rsidRPr="002F5892">
        <w:rPr>
          <w:rFonts w:ascii="Verdana" w:hAnsi="Verdana"/>
          <w:sz w:val="20"/>
          <w:szCs w:val="20"/>
          <w:lang w:val="fr-FR"/>
        </w:rPr>
        <w:t>Note de synthèse</w:t>
      </w:r>
    </w:p>
    <w:p w14:paraId="055EDC7D" w14:textId="41ED664D" w:rsidR="002A2210" w:rsidRPr="00AD2C84" w:rsidRDefault="002A2210" w:rsidP="009F5338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080" w:hanging="1134"/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</w:pPr>
      <w:r w:rsidRPr="00AD2C84"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t>INTRODUCTION</w:t>
      </w:r>
    </w:p>
    <w:p w14:paraId="22D4C5FF" w14:textId="3EF07584" w:rsidR="00A54CBA" w:rsidRPr="00A54CBA" w:rsidRDefault="00A54CBA" w:rsidP="00A54CBA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Les systèmes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alerte précoce </w:t>
      </w:r>
      <w:r w:rsidR="00142F5E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constituent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</w:t>
      </w:r>
      <w:r w:rsidR="00007415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à la fois 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une mesure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adaptation au climat et une mesure de réduction des risques de catastrophe</w:t>
      </w:r>
      <w:r w:rsidR="006270CF">
        <w:rPr>
          <w:rFonts w:ascii="Verdana" w:hAnsi="Verdana" w:cs="Calibri"/>
          <w:color w:val="000000" w:themeColor="text1"/>
          <w:sz w:val="20"/>
          <w:szCs w:val="20"/>
          <w:lang w:val="fr-CH"/>
        </w:rPr>
        <w:t>s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, toutes deux éprouvées, efficaces et réalisables, qui permettent de sauver des vies et dont le retour sur investissement est presque décuplé</w:t>
      </w:r>
      <w:r w:rsidR="009A4855">
        <w:rPr>
          <w:rStyle w:val="FootnoteReference"/>
          <w:rFonts w:ascii="Verdana" w:hAnsi="Verdana" w:cs="Calibri"/>
          <w:color w:val="000000" w:themeColor="text1"/>
          <w:sz w:val="20"/>
          <w:szCs w:val="20"/>
          <w:lang w:val="fr-CH"/>
        </w:rPr>
        <w:footnoteReference w:id="2"/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. Pourtant, les systèmes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précoce présentent encore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importantes lacunes, en</w:t>
      </w:r>
      <w:r w:rsidR="002F429B">
        <w:rPr>
          <w:rFonts w:ascii="Verdana" w:hAnsi="Verdana" w:cs="Calibri"/>
          <w:color w:val="000000" w:themeColor="text1"/>
          <w:sz w:val="20"/>
          <w:szCs w:val="20"/>
          <w:lang w:val="en-CH"/>
        </w:rPr>
        <w:t> 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particulier lorsqu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il s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agit de les traduire en actions </w:t>
      </w:r>
      <w:r w:rsidR="00DE09B1">
        <w:rPr>
          <w:rFonts w:ascii="Verdana" w:hAnsi="Verdana" w:cs="Calibri"/>
          <w:color w:val="000000" w:themeColor="text1"/>
          <w:sz w:val="20"/>
          <w:szCs w:val="20"/>
          <w:lang w:val="fr-CH"/>
        </w:rPr>
        <w:t>précoces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, définies selon les risques.</w:t>
      </w:r>
    </w:p>
    <w:p w14:paraId="57BC799D" w14:textId="6A364B64" w:rsidR="00A54CBA" w:rsidRPr="00A54CBA" w:rsidRDefault="00F6395B" w:rsidP="00A54CBA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«</w:t>
      </w:r>
      <w:r w:rsidR="00A54CBA" w:rsidRPr="00142F5E"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Des alertes précoces pour tous</w:t>
      </w:r>
      <w:r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»</w:t>
      </w:r>
      <w:r w:rsidR="00A54CBA" w:rsidRPr="00142F5E"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 xml:space="preserve"> (EW4ALL)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, initiative mondiale visant à faire en</w:t>
      </w:r>
      <w:r>
        <w:rPr>
          <w:rFonts w:ascii="Verdana" w:hAnsi="Verdana" w:cs="Calibri"/>
          <w:color w:val="000000" w:themeColor="text1"/>
          <w:sz w:val="20"/>
          <w:szCs w:val="20"/>
          <w:lang w:val="en-CH"/>
        </w:rPr>
        <w:t> 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sorte que tous les habitants de la planète soient protégés par des alertes précoces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ici à</w:t>
      </w:r>
      <w:r>
        <w:rPr>
          <w:rFonts w:ascii="Verdana" w:hAnsi="Verdana" w:cs="Calibri"/>
          <w:color w:val="000000" w:themeColor="text1"/>
          <w:sz w:val="20"/>
          <w:szCs w:val="20"/>
          <w:lang w:val="en-CH"/>
        </w:rPr>
        <w:t> 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2027, fait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objet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une mise en œuvre accélérée sur le terrain. En novembre 2022, le Secrétaire général des Nations Unies a publié le </w:t>
      </w:r>
      <w:r w:rsidR="00943C17" w:rsidRPr="00943C17"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P</w:t>
      </w:r>
      <w:r w:rsidR="00A54CBA" w:rsidRPr="00943C17"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lan d</w:t>
      </w:r>
      <w:r w:rsidR="00494BC8"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’</w:t>
      </w:r>
      <w:r w:rsidR="00A54CBA" w:rsidRPr="00943C17">
        <w:rPr>
          <w:rFonts w:ascii="Verdana" w:hAnsi="Verdana" w:cs="Calibri"/>
          <w:b/>
          <w:bCs/>
          <w:color w:val="000000" w:themeColor="text1"/>
          <w:sz w:val="20"/>
          <w:szCs w:val="20"/>
          <w:lang w:val="fr-CH"/>
        </w:rPr>
        <w:t>action exécutif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de haut niveau pour cette initiative, insistant sur la nécessité impérieuse de soutenir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abord les plus vulnérables</w:t>
      </w:r>
      <w:r w:rsidR="00777B3D">
        <w:rPr>
          <w:rStyle w:val="FootnoteReference"/>
          <w:rFonts w:ascii="Verdana" w:hAnsi="Verdana" w:cs="Calibri"/>
          <w:color w:val="000000" w:themeColor="text1"/>
          <w:sz w:val="20"/>
          <w:szCs w:val="20"/>
          <w:lang w:val="fr-CH"/>
        </w:rPr>
        <w:footnoteReference w:id="3"/>
      </w:r>
      <w:r w:rsidR="00A54CBA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.  </w:t>
      </w:r>
    </w:p>
    <w:p w14:paraId="74925BCA" w14:textId="40C54E91" w:rsidR="00A54CBA" w:rsidRPr="00A54CBA" w:rsidRDefault="00A54CBA" w:rsidP="00A54CBA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initiative EW4All est composée des quatre piliers fondamentaux sur lesquels reposent les systèmes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précoce:</w:t>
      </w:r>
    </w:p>
    <w:p w14:paraId="2DD859D5" w14:textId="314A8985" w:rsidR="00A54CBA" w:rsidRPr="00A54CBA" w:rsidRDefault="00A54CBA" w:rsidP="00A54CBA">
      <w:pPr>
        <w:spacing w:after="240" w:line="240" w:lineRule="auto"/>
        <w:ind w:left="1440" w:hanging="1440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Pilier 1: 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 xml:space="preserve">Connaissance des risques de catastrophes </w:t>
      </w:r>
      <w:r w:rsidR="00B516E7">
        <w:rPr>
          <w:rFonts w:ascii="Verdana" w:hAnsi="Verdana" w:cs="Calibri"/>
          <w:color w:val="000000" w:themeColor="text1"/>
          <w:sz w:val="20"/>
          <w:szCs w:val="20"/>
          <w:lang w:val="en-CH"/>
        </w:rPr>
        <w:t>–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collecte systématique de données sur les risques et évaluation de ces derniers en fonction des aléas et de la vulnérabilité afin de mieux les comprendre.</w:t>
      </w:r>
    </w:p>
    <w:p w14:paraId="5FFB072F" w14:textId="4E3A31DE" w:rsidR="00A54CBA" w:rsidRPr="00A54CBA" w:rsidRDefault="00A54CBA" w:rsidP="00A54CBA">
      <w:pPr>
        <w:spacing w:after="240" w:line="240" w:lineRule="auto"/>
        <w:ind w:left="1440" w:hanging="1440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Pilier 2: 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>Observations et prévision – mise en place de services de surveillance des risques et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précoce</w:t>
      </w:r>
      <w:r w:rsidR="006D4D95">
        <w:rPr>
          <w:rFonts w:ascii="Verdana" w:hAnsi="Verdana" w:cs="Calibri"/>
          <w:color w:val="000000" w:themeColor="text1"/>
          <w:sz w:val="20"/>
          <w:szCs w:val="20"/>
          <w:lang w:val="fr-CH"/>
        </w:rPr>
        <w:t>.</w:t>
      </w:r>
    </w:p>
    <w:p w14:paraId="3C4F88DD" w14:textId="46E3CD0B" w:rsidR="00A54CBA" w:rsidRPr="00A54CBA" w:rsidRDefault="00A54CBA" w:rsidP="00A54CBA">
      <w:pPr>
        <w:spacing w:after="240" w:line="240" w:lineRule="auto"/>
        <w:ind w:left="1440" w:hanging="1440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Pilier 3: 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>Diffusion et communication – transmission des informations sur les risques afin qu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elles parviennent à tous ceux qui en ont besoin,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une manière qui soit compréhensible et utilisable. </w:t>
      </w:r>
    </w:p>
    <w:p w14:paraId="52426A9D" w14:textId="4FD8D817" w:rsidR="00A54CBA" w:rsidRPr="00A54CBA" w:rsidRDefault="00A54CBA" w:rsidP="00A54CBA">
      <w:pPr>
        <w:spacing w:after="240" w:line="240" w:lineRule="auto"/>
        <w:ind w:left="1440" w:hanging="1440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Pilier 4: 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>Préparation et intervention – renforcement de</w:t>
      </w:r>
      <w:r w:rsidR="000E5E77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la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capacité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agir au sein des pays et des populations</w:t>
      </w:r>
      <w:r w:rsidR="006D4D95">
        <w:rPr>
          <w:rFonts w:ascii="Verdana" w:hAnsi="Verdana" w:cs="Calibri"/>
          <w:color w:val="000000" w:themeColor="text1"/>
          <w:sz w:val="20"/>
          <w:szCs w:val="20"/>
          <w:lang w:val="fr-CH"/>
        </w:rPr>
        <w:t>.</w:t>
      </w:r>
    </w:p>
    <w:p w14:paraId="5900EB31" w14:textId="4D88723F" w:rsidR="00A54CBA" w:rsidRPr="00A54CBA" w:rsidRDefault="00A54CBA" w:rsidP="00A54CBA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En outre, un système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précoce efficace est:</w:t>
      </w:r>
    </w:p>
    <w:p w14:paraId="134B8EB2" w14:textId="50BB75F3" w:rsidR="00A54CBA" w:rsidRPr="00A54CBA" w:rsidRDefault="00A54CBA" w:rsidP="00AB09E4">
      <w:pPr>
        <w:spacing w:after="180" w:line="240" w:lineRule="auto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•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>Multirisques: systèmes conçus pour détecter différents risques pouvant sur</w:t>
      </w:r>
      <w:r w:rsidR="00B35C2A">
        <w:rPr>
          <w:rFonts w:ascii="Verdana" w:hAnsi="Verdana" w:cs="Calibri"/>
          <w:color w:val="000000" w:themeColor="text1"/>
          <w:sz w:val="20"/>
          <w:szCs w:val="20"/>
          <w:lang w:val="fr-CH"/>
        </w:rPr>
        <w:t>v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enir isolément, simultanément ou en cascade.</w:t>
      </w:r>
    </w:p>
    <w:p w14:paraId="54ADF89D" w14:textId="0963DAA6" w:rsidR="00A54CBA" w:rsidRPr="00A54CBA" w:rsidRDefault="00A54CBA" w:rsidP="00AB09E4">
      <w:pPr>
        <w:spacing w:after="180" w:line="240" w:lineRule="auto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•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 xml:space="preserve">De bout en bout: systèmes qui couvrent toute la chaîne </w:t>
      </w:r>
      <w:r w:rsidR="003D402B">
        <w:rPr>
          <w:rFonts w:ascii="Verdana" w:hAnsi="Verdana" w:cs="Calibri"/>
          <w:color w:val="000000" w:themeColor="text1"/>
          <w:sz w:val="20"/>
          <w:szCs w:val="20"/>
          <w:lang w:val="en-CH"/>
        </w:rPr>
        <w:t>–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de la détection du danger à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="003C4361">
        <w:rPr>
          <w:rFonts w:ascii="Verdana" w:hAnsi="Verdana" w:cs="Calibri"/>
          <w:color w:val="000000" w:themeColor="text1"/>
          <w:sz w:val="20"/>
          <w:szCs w:val="20"/>
          <w:lang w:val="fr-CH"/>
        </w:rPr>
        <w:t>inter</w:t>
      </w:r>
      <w:r w:rsidR="004847F3">
        <w:rPr>
          <w:rFonts w:ascii="Verdana" w:hAnsi="Verdana" w:cs="Calibri"/>
          <w:color w:val="000000" w:themeColor="text1"/>
          <w:sz w:val="20"/>
          <w:szCs w:val="20"/>
          <w:lang w:val="fr-CH"/>
        </w:rPr>
        <w:t>vention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</w:t>
      </w:r>
      <w:r w:rsidR="003D402B">
        <w:rPr>
          <w:rFonts w:ascii="Verdana" w:hAnsi="Verdana" w:cs="Calibri"/>
          <w:color w:val="000000" w:themeColor="text1"/>
          <w:sz w:val="20"/>
          <w:szCs w:val="20"/>
          <w:lang w:val="en-CH"/>
        </w:rPr>
        <w:t>–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soutenus par des messages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compréhensibles et exploitables.</w:t>
      </w:r>
    </w:p>
    <w:p w14:paraId="3127707C" w14:textId="4903FAF1" w:rsidR="00A54CBA" w:rsidRPr="00A54CBA" w:rsidRDefault="00A54CBA" w:rsidP="00AB09E4">
      <w:pPr>
        <w:spacing w:after="180" w:line="240" w:lineRule="auto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•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>Centré sur les personnes: systèmes conçus en tenant compte des personnes, leur permettant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agir à temps et de manière appropriée afin de réduire les dommages potentiels.</w:t>
      </w:r>
    </w:p>
    <w:p w14:paraId="51130988" w14:textId="78AFB7E1" w:rsidR="00A54CBA" w:rsidRPr="00A54CBA" w:rsidRDefault="00A54CBA" w:rsidP="00AB09E4">
      <w:pPr>
        <w:spacing w:after="180" w:line="240" w:lineRule="auto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•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>Doté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une structure de gouvernance claire, de partenariats et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un financement durable</w:t>
      </w:r>
      <w:r w:rsidR="006D4D95">
        <w:rPr>
          <w:rFonts w:ascii="Verdana" w:hAnsi="Verdana" w:cs="Calibri"/>
          <w:color w:val="000000" w:themeColor="text1"/>
          <w:sz w:val="20"/>
          <w:szCs w:val="20"/>
          <w:lang w:val="fr-CH"/>
        </w:rPr>
        <w:t>.</w:t>
      </w:r>
    </w:p>
    <w:p w14:paraId="626180FE" w14:textId="6B8B2594" w:rsidR="00A54CBA" w:rsidRPr="00A54CBA" w:rsidRDefault="00A54CBA" w:rsidP="00AB09E4">
      <w:pPr>
        <w:spacing w:after="180" w:line="240" w:lineRule="auto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•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ab/>
        <w:t xml:space="preserve">Destiné à recevoir </w:t>
      </w:r>
      <w:r w:rsidR="003379A0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des améliorations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continues au fil du suivi et de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évaluation des efforts déployés par toutes les parties prenantes</w:t>
      </w:r>
      <w:r w:rsidR="006D4D95">
        <w:rPr>
          <w:rFonts w:ascii="Verdana" w:hAnsi="Verdana" w:cs="Calibri"/>
          <w:color w:val="000000" w:themeColor="text1"/>
          <w:sz w:val="20"/>
          <w:szCs w:val="20"/>
          <w:lang w:val="fr-CH"/>
        </w:rPr>
        <w:t>.</w:t>
      </w:r>
    </w:p>
    <w:p w14:paraId="519E8144" w14:textId="630D2A4D" w:rsidR="00A54CBA" w:rsidRPr="00A54CBA" w:rsidRDefault="00A54CBA" w:rsidP="00A54CBA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lastRenderedPageBreak/>
        <w:t>Si les gouvernements jouent un rôle crucial pour dynamiser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action autour des services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alerte précoce </w:t>
      </w:r>
      <w:r w:rsidR="007976EA">
        <w:rPr>
          <w:rFonts w:ascii="Verdana" w:hAnsi="Verdana" w:cs="Calibri"/>
          <w:color w:val="000000" w:themeColor="text1"/>
          <w:sz w:val="20"/>
          <w:szCs w:val="20"/>
          <w:lang w:val="fr-CH"/>
        </w:rPr>
        <w:t>en faveur de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leurs citoyens,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adoption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une approche globale faisant appel à</w:t>
      </w:r>
      <w:r w:rsidR="00C94F9E">
        <w:rPr>
          <w:rFonts w:ascii="Verdana" w:hAnsi="Verdana" w:cs="Calibri"/>
          <w:color w:val="000000" w:themeColor="text1"/>
          <w:sz w:val="20"/>
          <w:szCs w:val="20"/>
          <w:lang w:val="en-CH"/>
        </w:rPr>
        <w:t> 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ensemble de la société, qui implique toutes les parties prenantes, y compris la société civile et le secteur privé, a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avantage de renforcer et de pérenniser les services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précoce. Il</w:t>
      </w:r>
      <w:r w:rsidR="00B516E7">
        <w:rPr>
          <w:rFonts w:ascii="Verdana" w:hAnsi="Verdana" w:cs="Calibri"/>
          <w:color w:val="000000" w:themeColor="text1"/>
          <w:sz w:val="20"/>
          <w:szCs w:val="20"/>
          <w:lang w:val="en-CH"/>
        </w:rPr>
        <w:t> 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faut également reconnaître que les catastrophes et le changement climatique affectent les gens différemment selon leur sexe, leur âge et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autres facteurs. Par conséquent, une approche intersectionnelle est nécessaire pour s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assurer que les services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alerte précoce soient inclusifs, réactifs et équitables. En impliquant tous les secteurs de la société et en adoptant une approche intersectionnelle, les services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alerte précoce peuvent </w:t>
      </w:r>
      <w:r w:rsidR="00CC39B3">
        <w:rPr>
          <w:rFonts w:ascii="Verdana" w:hAnsi="Verdana" w:cs="Calibri"/>
          <w:color w:val="000000" w:themeColor="text1"/>
          <w:sz w:val="20"/>
          <w:szCs w:val="20"/>
          <w:lang w:val="fr-CH"/>
        </w:rPr>
        <w:t>se révéler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plus efficaces </w:t>
      </w:r>
      <w:r w:rsidR="00CC39B3">
        <w:rPr>
          <w:rFonts w:ascii="Verdana" w:hAnsi="Verdana" w:cs="Calibri"/>
          <w:color w:val="000000" w:themeColor="text1"/>
          <w:sz w:val="20"/>
          <w:szCs w:val="20"/>
          <w:lang w:val="fr-CH"/>
        </w:rPr>
        <w:t>pour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protéger les populations vulnérables </w:t>
      </w:r>
      <w:r w:rsidR="00C56112">
        <w:rPr>
          <w:rFonts w:ascii="Verdana" w:hAnsi="Verdana" w:cs="Calibri"/>
          <w:color w:val="000000" w:themeColor="text1"/>
          <w:sz w:val="20"/>
          <w:szCs w:val="20"/>
          <w:lang w:val="fr-CH"/>
        </w:rPr>
        <w:t>contre les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 effets des catastrophes et du changement climatique.</w:t>
      </w:r>
    </w:p>
    <w:p w14:paraId="48D1E43F" w14:textId="76E78994" w:rsidR="00A54CBA" w:rsidRPr="00A54CBA" w:rsidRDefault="00A54CBA" w:rsidP="00A54CBA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En faisant fond sur les investissements actuels ou à venir dans les systèmes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alerte précoce en </w:t>
      </w:r>
      <w:r w:rsidRPr="00142F5E">
        <w:rPr>
          <w:rFonts w:ascii="Verdana" w:hAnsi="Verdana" w:cs="Calibri"/>
          <w:color w:val="FF0000"/>
          <w:sz w:val="20"/>
          <w:szCs w:val="20"/>
          <w:lang w:val="fr-CH"/>
        </w:rPr>
        <w:t>[PAYS]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, le système des Nations Unies et ses partenaires cherchent à dynamiser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élan politique et à favoriser collectivement la réalisation du plan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action de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initiative EW4All d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ici</w:t>
      </w:r>
      <w:r w:rsidR="00B516E7">
        <w:rPr>
          <w:rFonts w:ascii="Verdana" w:hAnsi="Verdana" w:cs="Calibri"/>
          <w:color w:val="000000" w:themeColor="text1"/>
          <w:sz w:val="20"/>
          <w:szCs w:val="20"/>
          <w:lang w:val="en-CH"/>
        </w:rPr>
        <w:t> 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2027.</w:t>
      </w:r>
    </w:p>
    <w:p w14:paraId="6DF26AFB" w14:textId="2EEAF00E" w:rsidR="00C10576" w:rsidRPr="009A4855" w:rsidRDefault="00A54CBA" w:rsidP="003379A0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fr-CH"/>
        </w:rPr>
      </w:pP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Cette consultation nationale est dirigée par </w:t>
      </w:r>
      <w:r w:rsidRPr="00142F5E">
        <w:rPr>
          <w:rFonts w:ascii="Verdana" w:hAnsi="Verdana" w:cs="Calibri"/>
          <w:color w:val="FF0000"/>
          <w:sz w:val="20"/>
          <w:szCs w:val="20"/>
          <w:lang w:val="fr-CH"/>
        </w:rPr>
        <w:t xml:space="preserve">[MINISTÈRE/DÉPARTEMENT] 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et organisée conjointement avec le Bureau du </w:t>
      </w:r>
      <w:r w:rsidR="00165775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Coord</w:t>
      </w:r>
      <w:r w:rsidR="00165775">
        <w:rPr>
          <w:rFonts w:ascii="Verdana" w:hAnsi="Verdana" w:cs="Calibri"/>
          <w:color w:val="000000" w:themeColor="text1"/>
          <w:sz w:val="20"/>
          <w:szCs w:val="20"/>
          <w:lang w:val="fr-CH"/>
        </w:rPr>
        <w:t>o</w:t>
      </w:r>
      <w:r w:rsidR="00165775"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nnateur</w:t>
      </w:r>
      <w:r w:rsidR="004A6056">
        <w:rPr>
          <w:rFonts w:ascii="Verdana" w:hAnsi="Verdana" w:cs="Calibri"/>
          <w:color w:val="000000" w:themeColor="text1"/>
          <w:sz w:val="20"/>
          <w:szCs w:val="20"/>
          <w:lang w:val="fr-CH"/>
        </w:rPr>
        <w:t>-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résident des Nations Unies, le Bureau des Nations Unies pour la prévention des catastrophes (UNDRR), l</w:t>
      </w:r>
      <w:r w:rsidR="00494BC8">
        <w:rPr>
          <w:rFonts w:ascii="Verdana" w:hAnsi="Verdana" w:cs="Calibri"/>
          <w:color w:val="000000" w:themeColor="text1"/>
          <w:sz w:val="20"/>
          <w:szCs w:val="20"/>
          <w:lang w:val="fr-CH"/>
        </w:rPr>
        <w:t>’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 xml:space="preserve">Organisation météorologique mondiale et </w:t>
      </w:r>
      <w:r w:rsidRPr="00142F5E">
        <w:rPr>
          <w:rFonts w:ascii="Verdana" w:hAnsi="Verdana" w:cs="Calibri"/>
          <w:color w:val="FF0000"/>
          <w:sz w:val="20"/>
          <w:szCs w:val="20"/>
          <w:lang w:val="fr-CH"/>
        </w:rPr>
        <w:t>[NOM(S)]</w:t>
      </w:r>
      <w:r w:rsidRPr="00A54CBA">
        <w:rPr>
          <w:rFonts w:ascii="Verdana" w:hAnsi="Verdana" w:cs="Calibri"/>
          <w:color w:val="000000" w:themeColor="text1"/>
          <w:sz w:val="20"/>
          <w:szCs w:val="20"/>
          <w:lang w:val="fr-CH"/>
        </w:rPr>
        <w:t>.</w:t>
      </w:r>
    </w:p>
    <w:p w14:paraId="7B16117B" w14:textId="5E15BBBD" w:rsidR="001C3500" w:rsidRPr="00652AEA" w:rsidRDefault="00652AEA" w:rsidP="00A2756A">
      <w:pPr>
        <w:pStyle w:val="lead-text"/>
        <w:numPr>
          <w:ilvl w:val="0"/>
          <w:numId w:val="1"/>
        </w:numPr>
        <w:shd w:val="clear" w:color="auto" w:fill="FFFFFF"/>
        <w:tabs>
          <w:tab w:val="left" w:pos="1170"/>
        </w:tabs>
        <w:spacing w:before="480" w:beforeAutospacing="0" w:after="240" w:afterAutospacing="0"/>
        <w:ind w:left="1170" w:hanging="1170"/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fr-CH"/>
        </w:rPr>
      </w:pPr>
      <w:r w:rsidRPr="00652AEA"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fr-CH"/>
        </w:rPr>
        <w:t>OBJECTIFS DE LA CONFÉRENCE NATIONALE SUR LES ALERTES PRÉCOCES POUR TOUS</w:t>
      </w:r>
    </w:p>
    <w:p w14:paraId="6C80857A" w14:textId="7649A073" w:rsidR="00352CD7" w:rsidRDefault="00352CD7" w:rsidP="00352CD7">
      <w:pPr>
        <w:pStyle w:val="ListParagraph"/>
        <w:numPr>
          <w:ilvl w:val="0"/>
          <w:numId w:val="7"/>
        </w:numPr>
        <w:spacing w:after="240" w:line="240" w:lineRule="auto"/>
        <w:ind w:left="1170" w:hanging="630"/>
        <w:rPr>
          <w:rFonts w:ascii="Verdana" w:hAnsi="Verdana" w:cstheme="minorHAnsi"/>
          <w:sz w:val="20"/>
          <w:szCs w:val="20"/>
          <w:lang w:val="fr-CH"/>
        </w:rPr>
      </w:pPr>
      <w:r w:rsidRPr="00352CD7">
        <w:rPr>
          <w:rFonts w:ascii="Verdana" w:hAnsi="Verdana" w:cstheme="minorHAnsi"/>
          <w:sz w:val="20"/>
          <w:szCs w:val="20"/>
          <w:lang w:val="fr-CH"/>
        </w:rPr>
        <w:t>Passer en revue les systèmes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 xml:space="preserve">alerte précoce en </w:t>
      </w:r>
      <w:r w:rsidRPr="00352CD7">
        <w:rPr>
          <w:rFonts w:ascii="Verdana" w:hAnsi="Verdana" w:cstheme="minorHAnsi"/>
          <w:color w:val="FF0000"/>
          <w:sz w:val="20"/>
          <w:szCs w:val="20"/>
          <w:lang w:val="fr-CH"/>
        </w:rPr>
        <w:t xml:space="preserve">[PAYS] </w:t>
      </w:r>
      <w:r w:rsidRPr="00352CD7">
        <w:rPr>
          <w:rFonts w:ascii="Verdana" w:hAnsi="Verdana" w:cstheme="minorHAnsi"/>
          <w:sz w:val="20"/>
          <w:szCs w:val="20"/>
          <w:lang w:val="fr-CH"/>
        </w:rPr>
        <w:t>en leur état actuel et évaluer l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état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avancement de la mise en œuvre des quatre piliers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 xml:space="preserve">EW4All; </w:t>
      </w:r>
    </w:p>
    <w:p w14:paraId="433F5F6F" w14:textId="77777777" w:rsidR="00352CD7" w:rsidRPr="00352CD7" w:rsidRDefault="00352CD7" w:rsidP="00352CD7">
      <w:pPr>
        <w:pStyle w:val="ListParagraph"/>
        <w:spacing w:after="240" w:line="240" w:lineRule="auto"/>
        <w:ind w:left="1170"/>
        <w:rPr>
          <w:rFonts w:ascii="Verdana" w:hAnsi="Verdana" w:cstheme="minorHAnsi"/>
          <w:sz w:val="20"/>
          <w:szCs w:val="20"/>
          <w:lang w:val="fr-CH"/>
        </w:rPr>
      </w:pPr>
    </w:p>
    <w:p w14:paraId="49809DAD" w14:textId="08B12E0B" w:rsidR="00352CD7" w:rsidRDefault="00352CD7" w:rsidP="00352CD7">
      <w:pPr>
        <w:pStyle w:val="ListParagraph"/>
        <w:numPr>
          <w:ilvl w:val="0"/>
          <w:numId w:val="7"/>
        </w:numPr>
        <w:spacing w:after="240" w:line="240" w:lineRule="auto"/>
        <w:ind w:left="1170" w:hanging="630"/>
        <w:rPr>
          <w:rFonts w:ascii="Verdana" w:hAnsi="Verdana" w:cstheme="minorHAnsi"/>
          <w:sz w:val="20"/>
          <w:szCs w:val="20"/>
          <w:lang w:val="fr-CH"/>
        </w:rPr>
      </w:pPr>
      <w:r w:rsidRPr="00352CD7">
        <w:rPr>
          <w:rFonts w:ascii="Verdana" w:hAnsi="Verdana" w:cstheme="minorHAnsi"/>
          <w:sz w:val="20"/>
          <w:szCs w:val="20"/>
          <w:lang w:val="fr-CH"/>
        </w:rPr>
        <w:t>Examiner les liens et la concordance entre les initiatives en cours et à venir, et consolider les engagements pris par les principales parties prenantes pour renforcer les services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alerte précoce;</w:t>
      </w:r>
    </w:p>
    <w:p w14:paraId="443636E3" w14:textId="77777777" w:rsidR="00E86249" w:rsidRPr="00E86249" w:rsidRDefault="00E86249" w:rsidP="00E86249">
      <w:pPr>
        <w:pStyle w:val="ListParagraph"/>
        <w:rPr>
          <w:rFonts w:ascii="Verdana" w:hAnsi="Verdana" w:cstheme="minorHAnsi"/>
          <w:sz w:val="20"/>
          <w:szCs w:val="20"/>
          <w:lang w:val="fr-CH"/>
        </w:rPr>
      </w:pPr>
    </w:p>
    <w:p w14:paraId="66C92CB3" w14:textId="055F0978" w:rsidR="00352CD7" w:rsidRDefault="00352CD7" w:rsidP="00352CD7">
      <w:pPr>
        <w:pStyle w:val="ListParagraph"/>
        <w:numPr>
          <w:ilvl w:val="0"/>
          <w:numId w:val="7"/>
        </w:numPr>
        <w:spacing w:after="240" w:line="240" w:lineRule="auto"/>
        <w:ind w:left="1170" w:hanging="630"/>
        <w:rPr>
          <w:rFonts w:ascii="Verdana" w:hAnsi="Verdana" w:cstheme="minorHAnsi"/>
          <w:sz w:val="20"/>
          <w:szCs w:val="20"/>
          <w:lang w:val="fr-CH"/>
        </w:rPr>
      </w:pPr>
      <w:r w:rsidRPr="00352CD7">
        <w:rPr>
          <w:rFonts w:ascii="Verdana" w:hAnsi="Verdana" w:cstheme="minorHAnsi"/>
          <w:sz w:val="20"/>
          <w:szCs w:val="20"/>
          <w:lang w:val="fr-CH"/>
        </w:rPr>
        <w:t xml:space="preserve">Mettre en place un mécanisme de coordination national / renforcer le mécanisme de coordination national existant, qui aura vocation à guider les efforts visant à </w:t>
      </w:r>
      <w:r w:rsidR="007A0B99" w:rsidRPr="007A0B99">
        <w:rPr>
          <w:rFonts w:ascii="Verdana" w:hAnsi="Verdana" w:cstheme="minorHAnsi"/>
          <w:sz w:val="20"/>
          <w:szCs w:val="20"/>
          <w:lang w:val="fr-CH"/>
        </w:rPr>
        <w:t>étendre</w:t>
      </w:r>
      <w:r w:rsidRPr="007A0B99">
        <w:rPr>
          <w:rFonts w:ascii="Verdana" w:hAnsi="Verdana" w:cstheme="minorHAnsi"/>
          <w:sz w:val="20"/>
          <w:szCs w:val="20"/>
          <w:lang w:val="fr-CH"/>
        </w:rPr>
        <w:t xml:space="preserve"> la programmation</w:t>
      </w:r>
      <w:r w:rsidRPr="00352CD7">
        <w:rPr>
          <w:rFonts w:ascii="Verdana" w:hAnsi="Verdana" w:cstheme="minorHAnsi"/>
          <w:sz w:val="20"/>
          <w:szCs w:val="20"/>
          <w:lang w:val="fr-CH"/>
        </w:rPr>
        <w:t xml:space="preserve"> en matière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alerte précoce dans les quatre piliers, et à établir un lien entre la mobilisation au niveau national et local;</w:t>
      </w:r>
    </w:p>
    <w:p w14:paraId="1F0573A9" w14:textId="77777777" w:rsidR="00E86249" w:rsidRPr="00E86249" w:rsidRDefault="00E86249" w:rsidP="00E86249">
      <w:pPr>
        <w:pStyle w:val="ListParagraph"/>
        <w:rPr>
          <w:rFonts w:ascii="Verdana" w:hAnsi="Verdana" w:cstheme="minorHAnsi"/>
          <w:sz w:val="20"/>
          <w:szCs w:val="20"/>
          <w:lang w:val="fr-CH"/>
        </w:rPr>
      </w:pPr>
    </w:p>
    <w:p w14:paraId="4EC4C15E" w14:textId="5AC47883" w:rsidR="00352CD7" w:rsidRPr="00EC7529" w:rsidRDefault="00352CD7" w:rsidP="00EC7529">
      <w:pPr>
        <w:pStyle w:val="ListParagraph"/>
        <w:numPr>
          <w:ilvl w:val="0"/>
          <w:numId w:val="7"/>
        </w:numPr>
        <w:spacing w:after="240" w:line="240" w:lineRule="auto"/>
        <w:ind w:left="1170" w:hanging="630"/>
        <w:rPr>
          <w:rFonts w:ascii="Verdana" w:hAnsi="Verdana" w:cstheme="minorHAnsi"/>
          <w:sz w:val="20"/>
          <w:szCs w:val="20"/>
          <w:lang w:val="fr-CH"/>
        </w:rPr>
      </w:pPr>
      <w:r w:rsidRPr="00352CD7">
        <w:rPr>
          <w:rFonts w:ascii="Verdana" w:hAnsi="Verdana" w:cstheme="minorHAnsi"/>
          <w:sz w:val="20"/>
          <w:szCs w:val="20"/>
          <w:lang w:val="fr-CH"/>
        </w:rPr>
        <w:t>Convenir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un processus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identification des lacunes des systèmes nationaux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 xml:space="preserve">alerte précoce, au regard de la liste récapitulative des capacités </w:t>
      </w:r>
      <w:r w:rsidR="00411147">
        <w:rPr>
          <w:rFonts w:ascii="Verdana" w:hAnsi="Verdana" w:cstheme="minorHAnsi"/>
          <w:sz w:val="20"/>
          <w:szCs w:val="20"/>
          <w:lang w:val="fr-CH"/>
        </w:rPr>
        <w:t>de base</w:t>
      </w:r>
      <w:r w:rsidRPr="00352CD7">
        <w:rPr>
          <w:rFonts w:ascii="Verdana" w:hAnsi="Verdana" w:cstheme="minorHAnsi"/>
          <w:sz w:val="20"/>
          <w:szCs w:val="20"/>
          <w:lang w:val="fr-CH"/>
        </w:rPr>
        <w:t xml:space="preserve"> minimales</w:t>
      </w:r>
      <w:r w:rsidRPr="00EC7529">
        <w:rPr>
          <w:rFonts w:ascii="Verdana" w:hAnsi="Verdana" w:cstheme="minorHAnsi"/>
          <w:sz w:val="20"/>
          <w:szCs w:val="20"/>
          <w:lang w:val="fr-CH"/>
        </w:rPr>
        <w:t xml:space="preserve"> fournie par l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EC7529">
        <w:rPr>
          <w:rFonts w:ascii="Verdana" w:hAnsi="Verdana" w:cstheme="minorHAnsi"/>
          <w:sz w:val="20"/>
          <w:szCs w:val="20"/>
          <w:lang w:val="fr-CH"/>
        </w:rPr>
        <w:t>initiative EW4All;</w:t>
      </w:r>
    </w:p>
    <w:p w14:paraId="3ED2B7BB" w14:textId="77777777" w:rsidR="00E86249" w:rsidRPr="00E86249" w:rsidRDefault="00E86249" w:rsidP="00E86249">
      <w:pPr>
        <w:pStyle w:val="ListParagraph"/>
        <w:rPr>
          <w:rFonts w:ascii="Verdana" w:hAnsi="Verdana" w:cstheme="minorHAnsi"/>
          <w:sz w:val="20"/>
          <w:szCs w:val="20"/>
          <w:lang w:val="fr-CH"/>
        </w:rPr>
      </w:pPr>
    </w:p>
    <w:p w14:paraId="6D3B1407" w14:textId="1D5E6917" w:rsidR="00352CD7" w:rsidRDefault="00352CD7" w:rsidP="00352CD7">
      <w:pPr>
        <w:pStyle w:val="ListParagraph"/>
        <w:numPr>
          <w:ilvl w:val="0"/>
          <w:numId w:val="7"/>
        </w:numPr>
        <w:spacing w:after="240" w:line="240" w:lineRule="auto"/>
        <w:ind w:left="1170" w:hanging="630"/>
        <w:rPr>
          <w:rFonts w:ascii="Verdana" w:hAnsi="Verdana" w:cstheme="minorHAnsi"/>
          <w:sz w:val="20"/>
          <w:szCs w:val="20"/>
          <w:lang w:val="fr-CH"/>
        </w:rPr>
      </w:pPr>
      <w:r w:rsidRPr="00352CD7">
        <w:rPr>
          <w:rFonts w:ascii="Verdana" w:hAnsi="Verdana" w:cstheme="minorHAnsi"/>
          <w:sz w:val="20"/>
          <w:szCs w:val="20"/>
          <w:lang w:val="fr-CH"/>
        </w:rPr>
        <w:t xml:space="preserve">Identifier les principaux défis et obstacles faisant entrave à des alertes précoces efficaces et cohérentes, et recommander des </w:t>
      </w:r>
      <w:r w:rsidR="00590249">
        <w:rPr>
          <w:rFonts w:ascii="Verdana" w:hAnsi="Verdana" w:cstheme="minorHAnsi"/>
          <w:sz w:val="20"/>
          <w:szCs w:val="20"/>
          <w:lang w:val="fr-CH"/>
        </w:rPr>
        <w:t>mesures</w:t>
      </w:r>
      <w:r w:rsidRPr="00352CD7">
        <w:rPr>
          <w:rFonts w:ascii="Verdana" w:hAnsi="Verdana" w:cstheme="minorHAnsi"/>
          <w:sz w:val="20"/>
          <w:szCs w:val="20"/>
          <w:lang w:val="fr-CH"/>
        </w:rPr>
        <w:t xml:space="preserve"> ciblées pour les surmonter, conformément aux priorités nationales en matière de développement; </w:t>
      </w:r>
    </w:p>
    <w:p w14:paraId="552ACBFC" w14:textId="77777777" w:rsidR="00E86249" w:rsidRPr="00E86249" w:rsidRDefault="00E86249" w:rsidP="00E86249">
      <w:pPr>
        <w:pStyle w:val="ListParagraph"/>
        <w:rPr>
          <w:rFonts w:ascii="Verdana" w:hAnsi="Verdana" w:cstheme="minorHAnsi"/>
          <w:sz w:val="20"/>
          <w:szCs w:val="20"/>
          <w:lang w:val="fr-CH"/>
        </w:rPr>
      </w:pPr>
    </w:p>
    <w:p w14:paraId="4134B3FB" w14:textId="21FA89A4" w:rsidR="00E86249" w:rsidRDefault="00352CD7" w:rsidP="00E86249">
      <w:pPr>
        <w:pStyle w:val="ListParagraph"/>
        <w:numPr>
          <w:ilvl w:val="0"/>
          <w:numId w:val="7"/>
        </w:numPr>
        <w:spacing w:after="240" w:line="240" w:lineRule="auto"/>
        <w:ind w:left="1170" w:hanging="630"/>
        <w:rPr>
          <w:rFonts w:ascii="Verdana" w:hAnsi="Verdana" w:cstheme="minorHAnsi"/>
          <w:sz w:val="20"/>
          <w:szCs w:val="20"/>
          <w:lang w:val="fr-CH"/>
        </w:rPr>
      </w:pPr>
      <w:r w:rsidRPr="00352CD7">
        <w:rPr>
          <w:rFonts w:ascii="Verdana" w:hAnsi="Verdana" w:cstheme="minorHAnsi"/>
          <w:sz w:val="20"/>
          <w:szCs w:val="20"/>
          <w:lang w:val="fr-CH"/>
        </w:rPr>
        <w:t>Fournir les premiers éléments d</w:t>
      </w:r>
      <w:r w:rsidR="00494BC8">
        <w:rPr>
          <w:rFonts w:ascii="Verdana" w:hAnsi="Verdana" w:cstheme="minorHAnsi"/>
          <w:sz w:val="20"/>
          <w:szCs w:val="20"/>
          <w:lang w:val="fr-CH"/>
        </w:rPr>
        <w:t>’</w:t>
      </w:r>
      <w:r w:rsidRPr="00352CD7">
        <w:rPr>
          <w:rFonts w:ascii="Verdana" w:hAnsi="Verdana" w:cstheme="minorHAnsi"/>
          <w:sz w:val="20"/>
          <w:szCs w:val="20"/>
          <w:lang w:val="fr-CH"/>
        </w:rPr>
        <w:t>une feuille de route nationale EW4All pluriannuelle, multipartite, ciblée et réalisable, autour de laquelle tous les acteurs peuvent mobiliser des ressources, une assistance technique et un soutien à long terme.</w:t>
      </w:r>
    </w:p>
    <w:p w14:paraId="78BF5661" w14:textId="53E75BED" w:rsidR="00A05AF4" w:rsidRPr="00AD2C84" w:rsidRDefault="00A130B4" w:rsidP="00F535D4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70" w:hanging="1170"/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</w:pPr>
      <w:r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t>RÉSULTATS ATTENDUS</w:t>
      </w:r>
    </w:p>
    <w:p w14:paraId="34326F32" w14:textId="087AF0E4" w:rsidR="00F535D4" w:rsidRPr="00F535D4" w:rsidRDefault="00F535D4" w:rsidP="008E2B3E">
      <w:pPr>
        <w:pStyle w:val="NormalWeb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F535D4">
        <w:rPr>
          <w:rFonts w:ascii="Verdana" w:hAnsi="Verdana"/>
          <w:sz w:val="20"/>
          <w:szCs w:val="20"/>
          <w:lang w:val="fr-FR"/>
        </w:rPr>
        <w:t>Compte tenu de la diversité des compétences représentées à cette conférence, les travaux devraient déboucher sur les résultats suivants: Accord sur un mécanisme de coordination national pour guider l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F535D4">
        <w:rPr>
          <w:rFonts w:ascii="Verdana" w:hAnsi="Verdana"/>
          <w:sz w:val="20"/>
          <w:szCs w:val="20"/>
          <w:lang w:val="fr-FR"/>
        </w:rPr>
        <w:t>extension des systèmes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F535D4">
        <w:rPr>
          <w:rFonts w:ascii="Verdana" w:hAnsi="Verdana"/>
          <w:sz w:val="20"/>
          <w:szCs w:val="20"/>
          <w:lang w:val="fr-FR"/>
        </w:rPr>
        <w:t>alerte précoce.</w:t>
      </w:r>
    </w:p>
    <w:p w14:paraId="0DE09EDF" w14:textId="74F8E5BD" w:rsidR="00F535D4" w:rsidRPr="00F535D4" w:rsidRDefault="00F535D4" w:rsidP="008E2B3E">
      <w:pPr>
        <w:pStyle w:val="NormalWeb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F535D4">
        <w:rPr>
          <w:rFonts w:ascii="Verdana" w:hAnsi="Verdana"/>
          <w:sz w:val="20"/>
          <w:szCs w:val="20"/>
          <w:lang w:val="fr-FR"/>
        </w:rPr>
        <w:lastRenderedPageBreak/>
        <w:t>Accord sur le processus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F535D4">
        <w:rPr>
          <w:rFonts w:ascii="Verdana" w:hAnsi="Verdana"/>
          <w:sz w:val="20"/>
          <w:szCs w:val="20"/>
          <w:lang w:val="fr-FR"/>
        </w:rPr>
        <w:t xml:space="preserve">identification des lacunes politiques, techniques, financières et autres au niveau national et infranational en </w:t>
      </w:r>
      <w:r w:rsidRPr="00F535D4">
        <w:rPr>
          <w:rFonts w:ascii="Verdana" w:hAnsi="Verdana"/>
          <w:color w:val="FF0000"/>
          <w:sz w:val="20"/>
          <w:szCs w:val="20"/>
          <w:lang w:val="fr-FR"/>
        </w:rPr>
        <w:t xml:space="preserve">[PAYS] </w:t>
      </w:r>
      <w:r w:rsidRPr="00F535D4">
        <w:rPr>
          <w:rFonts w:ascii="Verdana" w:hAnsi="Verdana"/>
          <w:sz w:val="20"/>
          <w:szCs w:val="20"/>
          <w:lang w:val="fr-FR"/>
        </w:rPr>
        <w:t>pour les quatre piliers du plan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F535D4">
        <w:rPr>
          <w:rFonts w:ascii="Verdana" w:hAnsi="Verdana"/>
          <w:sz w:val="20"/>
          <w:szCs w:val="20"/>
          <w:lang w:val="fr-FR"/>
        </w:rPr>
        <w:t>action EW4All.</w:t>
      </w:r>
    </w:p>
    <w:p w14:paraId="7D3B777C" w14:textId="22B307EF" w:rsidR="00F535D4" w:rsidRPr="00F535D4" w:rsidRDefault="00F535D4" w:rsidP="008E2B3E">
      <w:pPr>
        <w:pStyle w:val="NormalWeb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567"/>
        <w:rPr>
          <w:rFonts w:ascii="Verdana" w:hAnsi="Verdana"/>
          <w:sz w:val="20"/>
          <w:szCs w:val="20"/>
          <w:lang w:val="fr-CH"/>
        </w:rPr>
      </w:pPr>
      <w:r w:rsidRPr="00F535D4">
        <w:rPr>
          <w:rFonts w:ascii="Verdana" w:hAnsi="Verdana"/>
          <w:sz w:val="20"/>
          <w:szCs w:val="20"/>
          <w:lang w:val="fr-FR"/>
        </w:rPr>
        <w:t>Accord sur le processus de formulation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F535D4">
        <w:rPr>
          <w:rFonts w:ascii="Verdana" w:hAnsi="Verdana"/>
          <w:sz w:val="20"/>
          <w:szCs w:val="20"/>
          <w:lang w:val="fr-FR"/>
        </w:rPr>
        <w:t xml:space="preserve">une feuille de route nationale EW4All pluriannuelle et multipartite (2023-2027) à laquelle </w:t>
      </w:r>
      <w:r w:rsidR="0097446E" w:rsidRPr="00F535D4">
        <w:rPr>
          <w:rFonts w:ascii="Verdana" w:hAnsi="Verdana"/>
          <w:sz w:val="20"/>
          <w:szCs w:val="20"/>
          <w:lang w:val="fr-FR"/>
        </w:rPr>
        <w:t xml:space="preserve">peuvent se rallier </w:t>
      </w:r>
      <w:r w:rsidRPr="00F535D4">
        <w:rPr>
          <w:rFonts w:ascii="Verdana" w:hAnsi="Verdana"/>
          <w:sz w:val="20"/>
          <w:szCs w:val="20"/>
          <w:lang w:val="fr-FR"/>
        </w:rPr>
        <w:t>tous les acteurs pour parvenir à une couverture universelle en matière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F535D4">
        <w:rPr>
          <w:rFonts w:ascii="Verdana" w:hAnsi="Verdana"/>
          <w:sz w:val="20"/>
          <w:szCs w:val="20"/>
          <w:lang w:val="fr-FR"/>
        </w:rPr>
        <w:t xml:space="preserve">alerte précoce en </w:t>
      </w:r>
      <w:r w:rsidRPr="00F535D4">
        <w:rPr>
          <w:rFonts w:ascii="Verdana" w:hAnsi="Verdana"/>
          <w:color w:val="FF0000"/>
          <w:sz w:val="20"/>
          <w:szCs w:val="20"/>
          <w:lang w:val="fr-FR"/>
        </w:rPr>
        <w:t>[PAYS]</w:t>
      </w:r>
      <w:r w:rsidRPr="00F535D4">
        <w:rPr>
          <w:rFonts w:ascii="Verdana" w:hAnsi="Verdana"/>
          <w:sz w:val="20"/>
          <w:szCs w:val="20"/>
          <w:lang w:val="fr-FR"/>
        </w:rPr>
        <w:t>.</w:t>
      </w:r>
    </w:p>
    <w:p w14:paraId="36CA12FF" w14:textId="0D7F816A" w:rsidR="006A2E99" w:rsidRPr="00AD2C84" w:rsidRDefault="00F535D4" w:rsidP="00A2756A">
      <w:pPr>
        <w:pStyle w:val="lead-text"/>
        <w:numPr>
          <w:ilvl w:val="0"/>
          <w:numId w:val="1"/>
        </w:numPr>
        <w:shd w:val="clear" w:color="auto" w:fill="FFFFFF"/>
        <w:spacing w:before="480" w:beforeAutospacing="0" w:after="240" w:afterAutospacing="0"/>
        <w:ind w:left="1170" w:hanging="1170"/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</w:pPr>
      <w:r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t>PUBLIC CIBLE</w:t>
      </w:r>
    </w:p>
    <w:p w14:paraId="3B1E7B74" w14:textId="49291603" w:rsidR="006164EE" w:rsidRDefault="00EA74D1" w:rsidP="006164EE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 xml:space="preserve">Agence nationale de gestion des catastrophes </w:t>
      </w:r>
      <w:r w:rsidRPr="009A3C1C">
        <w:rPr>
          <w:rFonts w:ascii="Verdana" w:hAnsi="Verdana" w:cs="Calibri"/>
          <w:color w:val="FF0000"/>
          <w:sz w:val="20"/>
          <w:szCs w:val="20"/>
          <w:lang w:val="fr-FR"/>
        </w:rPr>
        <w:t>[NOM]</w:t>
      </w:r>
      <w:r w:rsidR="00E151EC">
        <w:rPr>
          <w:rFonts w:ascii="Verdana" w:hAnsi="Verdana" w:cs="Calibri"/>
          <w:sz w:val="20"/>
          <w:szCs w:val="20"/>
          <w:lang w:val="fr-FR"/>
        </w:rPr>
        <w:t>;</w:t>
      </w:r>
    </w:p>
    <w:p w14:paraId="73341C81" w14:textId="50683794" w:rsidR="009F7B7E" w:rsidRDefault="00EA74D1" w:rsidP="009F7B7E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 xml:space="preserve">Services météorologiques et hydrologiques nationaux </w:t>
      </w:r>
      <w:r w:rsidRPr="00EA74D1">
        <w:rPr>
          <w:rFonts w:ascii="Verdana" w:hAnsi="Verdana" w:cs="Calibri"/>
          <w:color w:val="FF0000"/>
          <w:sz w:val="20"/>
          <w:szCs w:val="20"/>
          <w:lang w:val="fr-FR"/>
        </w:rPr>
        <w:t>[NOM]</w:t>
      </w:r>
      <w:r w:rsidR="00E151EC">
        <w:rPr>
          <w:rFonts w:ascii="Verdana" w:hAnsi="Verdana" w:cs="Calibri"/>
          <w:sz w:val="20"/>
          <w:szCs w:val="20"/>
          <w:lang w:val="fr-FR"/>
        </w:rPr>
        <w:t>;</w:t>
      </w:r>
    </w:p>
    <w:p w14:paraId="13CDB2AA" w14:textId="59EE0708" w:rsidR="009F7B7E" w:rsidRDefault="00EA74D1" w:rsidP="005907D2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right="-148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>Les ministères et départements compétents, par exemple en charge des technologies de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information et de la communication, de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agriculture, des transports, des infrastructures, de la santé, de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éducation, de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énergie, de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environnement, des finances, etc. ainsi que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autorité de régulation des télécommunications</w:t>
      </w:r>
      <w:r w:rsidR="00E151EC">
        <w:rPr>
          <w:rFonts w:ascii="Verdana" w:hAnsi="Verdana" w:cs="Calibri"/>
          <w:sz w:val="20"/>
          <w:szCs w:val="20"/>
          <w:lang w:val="fr-FR"/>
        </w:rPr>
        <w:t>;</w:t>
      </w:r>
    </w:p>
    <w:p w14:paraId="10F7C324" w14:textId="3F6C9A83" w:rsidR="009F7B7E" w:rsidRDefault="00EA74D1" w:rsidP="009F7B7E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>Représentants des pouvoirs locaux/provinciaux/de district</w:t>
      </w:r>
      <w:r w:rsidR="00E151EC">
        <w:rPr>
          <w:rFonts w:ascii="Verdana" w:hAnsi="Verdana" w:cs="Calibri"/>
          <w:sz w:val="20"/>
          <w:szCs w:val="20"/>
          <w:lang w:val="fr-FR"/>
        </w:rPr>
        <w:t>;</w:t>
      </w:r>
    </w:p>
    <w:p w14:paraId="156982DA" w14:textId="4470644A" w:rsidR="009F7B7E" w:rsidRDefault="00EA74D1" w:rsidP="009F7B7E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 xml:space="preserve">Les Nations Unies et les organisations internationales </w:t>
      </w:r>
      <w:r w:rsidR="006164EE" w:rsidRPr="009F7B7E">
        <w:rPr>
          <w:rFonts w:ascii="Verdana" w:hAnsi="Verdana" w:cs="Calibri"/>
          <w:sz w:val="20"/>
          <w:szCs w:val="20"/>
          <w:lang w:val="fr-FR"/>
        </w:rPr>
        <w:t>œuvrant</w:t>
      </w:r>
      <w:r w:rsidRPr="00EA74D1">
        <w:rPr>
          <w:rFonts w:ascii="Verdana" w:hAnsi="Verdana" w:cs="Calibri"/>
          <w:sz w:val="20"/>
          <w:szCs w:val="20"/>
          <w:lang w:val="fr-FR"/>
        </w:rPr>
        <w:t xml:space="preserve"> dans le domaine des alertes précoces</w:t>
      </w:r>
      <w:r w:rsidR="00E151EC">
        <w:rPr>
          <w:rFonts w:ascii="Verdana" w:hAnsi="Verdana" w:cs="Calibri"/>
          <w:sz w:val="20"/>
          <w:szCs w:val="20"/>
          <w:lang w:val="fr-FR"/>
        </w:rPr>
        <w:t>;</w:t>
      </w:r>
    </w:p>
    <w:p w14:paraId="06622BF9" w14:textId="16C12CD7" w:rsidR="009F7B7E" w:rsidRDefault="00EA74D1" w:rsidP="009F7B7E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>Organisations de la société civile participant aux services d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alerte précoce et à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information sur le climat et les risques de catastrophe</w:t>
      </w:r>
      <w:r w:rsidR="006270CF">
        <w:rPr>
          <w:rFonts w:ascii="Verdana" w:hAnsi="Verdana" w:cs="Calibri"/>
          <w:sz w:val="20"/>
          <w:szCs w:val="20"/>
          <w:lang w:val="fr-FR"/>
        </w:rPr>
        <w:t>s</w:t>
      </w:r>
      <w:r w:rsidR="00E151EC">
        <w:rPr>
          <w:rFonts w:ascii="Verdana" w:hAnsi="Verdana" w:cs="Calibri"/>
          <w:sz w:val="20"/>
          <w:szCs w:val="20"/>
          <w:lang w:val="fr-FR"/>
        </w:rPr>
        <w:t>;</w:t>
      </w:r>
    </w:p>
    <w:p w14:paraId="14DB0397" w14:textId="77806E23" w:rsidR="00F80B6C" w:rsidRPr="009A4855" w:rsidRDefault="009A3C1C" w:rsidP="009F7B7E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fr-CH"/>
        </w:rPr>
      </w:pPr>
      <w:r w:rsidRPr="00EA74D1">
        <w:rPr>
          <w:rFonts w:ascii="Verdana" w:hAnsi="Verdana" w:cs="Calibri"/>
          <w:sz w:val="20"/>
          <w:szCs w:val="20"/>
          <w:lang w:val="fr-FR"/>
        </w:rPr>
        <w:t>Secteur privé, y compris les opérateurs de réseaux mobiles et le secteur national de l</w:t>
      </w:r>
      <w:r w:rsidR="00494BC8">
        <w:rPr>
          <w:rFonts w:ascii="Verdana" w:hAnsi="Verdana" w:cs="Calibri"/>
          <w:sz w:val="20"/>
          <w:szCs w:val="20"/>
          <w:lang w:val="fr-FR"/>
        </w:rPr>
        <w:t>’</w:t>
      </w:r>
      <w:r w:rsidRPr="00EA74D1">
        <w:rPr>
          <w:rFonts w:ascii="Verdana" w:hAnsi="Verdana" w:cs="Calibri"/>
          <w:sz w:val="20"/>
          <w:szCs w:val="20"/>
          <w:lang w:val="fr-FR"/>
        </w:rPr>
        <w:t>assurance.</w:t>
      </w:r>
    </w:p>
    <w:p w14:paraId="0F4A369E" w14:textId="5E361FED" w:rsidR="00D524C5" w:rsidRDefault="00D57936" w:rsidP="00A2756A">
      <w:pPr>
        <w:pStyle w:val="lead-text"/>
        <w:numPr>
          <w:ilvl w:val="0"/>
          <w:numId w:val="1"/>
        </w:numPr>
        <w:shd w:val="clear" w:color="auto" w:fill="FFFFFF"/>
        <w:spacing w:before="480" w:beforeAutospacing="0" w:after="240" w:afterAutospacing="0"/>
        <w:ind w:left="1170" w:hanging="1170"/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</w:pPr>
      <w:r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t>PROPOSITION D</w:t>
      </w:r>
      <w:r w:rsidR="00494BC8"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t>’</w:t>
      </w:r>
      <w:r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t>ORDRE DU JOUR</w:t>
      </w:r>
    </w:p>
    <w:p w14:paraId="6C1D5B35" w14:textId="392B3AC3" w:rsidR="00D57936" w:rsidRPr="00D57936" w:rsidRDefault="00D57936" w:rsidP="00501AAB">
      <w:pPr>
        <w:pStyle w:val="ListParagraph"/>
        <w:numPr>
          <w:ilvl w:val="2"/>
          <w:numId w:val="16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D57936">
        <w:rPr>
          <w:rFonts w:ascii="Verdana" w:hAnsi="Verdana"/>
          <w:b/>
          <w:bCs/>
          <w:sz w:val="20"/>
          <w:szCs w:val="20"/>
          <w:lang w:val="fr-FR"/>
        </w:rPr>
        <w:t>Séance d</w:t>
      </w:r>
      <w:r w:rsidR="00494BC8">
        <w:rPr>
          <w:rFonts w:ascii="Verdana" w:hAnsi="Verdana"/>
          <w:b/>
          <w:bCs/>
          <w:sz w:val="20"/>
          <w:szCs w:val="20"/>
          <w:lang w:val="fr-FR"/>
        </w:rPr>
        <w:t>’</w:t>
      </w:r>
      <w:r w:rsidRPr="00D57936">
        <w:rPr>
          <w:rFonts w:ascii="Verdana" w:hAnsi="Verdana"/>
          <w:b/>
          <w:bCs/>
          <w:sz w:val="20"/>
          <w:szCs w:val="20"/>
          <w:lang w:val="fr-FR"/>
        </w:rPr>
        <w:t>ouverture</w:t>
      </w:r>
    </w:p>
    <w:p w14:paraId="3D40E555" w14:textId="310E5AB4" w:rsidR="00D57936" w:rsidRPr="00D57936" w:rsidRDefault="00D57936" w:rsidP="00501AAB">
      <w:pPr>
        <w:spacing w:after="240" w:line="240" w:lineRule="auto"/>
        <w:ind w:left="1134"/>
        <w:rPr>
          <w:rFonts w:ascii="Verdana" w:hAnsi="Verdana"/>
          <w:sz w:val="20"/>
          <w:szCs w:val="20"/>
        </w:rPr>
      </w:pPr>
      <w:r w:rsidRPr="00D57936">
        <w:rPr>
          <w:rFonts w:ascii="Verdana" w:hAnsi="Verdana"/>
          <w:sz w:val="20"/>
          <w:szCs w:val="20"/>
          <w:lang w:val="fr-FR"/>
        </w:rPr>
        <w:t>Un haut dignitaire (président ou vice-président) ouvre la conférence. Le</w:t>
      </w:r>
      <w:r w:rsidR="00E00DFD">
        <w:rPr>
          <w:rFonts w:ascii="Verdana" w:hAnsi="Verdana"/>
          <w:sz w:val="20"/>
          <w:szCs w:val="20"/>
          <w:lang w:val="en-CH"/>
        </w:rPr>
        <w:t> </w:t>
      </w:r>
      <w:r w:rsidR="00546AB0">
        <w:rPr>
          <w:rFonts w:ascii="Verdana" w:hAnsi="Verdana"/>
          <w:sz w:val="20"/>
          <w:szCs w:val="20"/>
          <w:lang w:val="fr-FR"/>
        </w:rPr>
        <w:t>C</w:t>
      </w:r>
      <w:r w:rsidR="00546AB0" w:rsidRPr="00D57936">
        <w:rPr>
          <w:rFonts w:ascii="Verdana" w:hAnsi="Verdana"/>
          <w:sz w:val="20"/>
          <w:szCs w:val="20"/>
          <w:lang w:val="fr-FR"/>
        </w:rPr>
        <w:t>oordonnateur</w:t>
      </w:r>
      <w:r>
        <w:rPr>
          <w:rFonts w:ascii="Verdana" w:hAnsi="Verdana"/>
          <w:sz w:val="20"/>
          <w:szCs w:val="20"/>
          <w:lang w:val="fr-FR"/>
        </w:rPr>
        <w:t>-</w:t>
      </w:r>
      <w:r w:rsidRPr="00D57936">
        <w:rPr>
          <w:rFonts w:ascii="Verdana" w:hAnsi="Verdana"/>
          <w:sz w:val="20"/>
          <w:szCs w:val="20"/>
          <w:lang w:val="fr-FR"/>
        </w:rPr>
        <w:t>résident et le ministre prononcent des allocutions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D57936">
        <w:rPr>
          <w:rFonts w:ascii="Verdana" w:hAnsi="Verdana"/>
          <w:sz w:val="20"/>
          <w:szCs w:val="20"/>
          <w:lang w:val="fr-FR"/>
        </w:rPr>
        <w:t>ouverture.</w:t>
      </w:r>
    </w:p>
    <w:p w14:paraId="7DAAC910" w14:textId="7242AFFE" w:rsidR="00D57936" w:rsidRPr="00D57936" w:rsidRDefault="00D57936" w:rsidP="00501AAB">
      <w:pPr>
        <w:pStyle w:val="ListParagraph"/>
        <w:numPr>
          <w:ilvl w:val="2"/>
          <w:numId w:val="16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D57936">
        <w:rPr>
          <w:rFonts w:ascii="Verdana" w:hAnsi="Verdana"/>
          <w:b/>
          <w:bCs/>
          <w:sz w:val="20"/>
          <w:szCs w:val="20"/>
          <w:lang w:val="fr-FR"/>
        </w:rPr>
        <w:t>État des systèmes d</w:t>
      </w:r>
      <w:r w:rsidR="00494BC8">
        <w:rPr>
          <w:rFonts w:ascii="Verdana" w:hAnsi="Verdana"/>
          <w:b/>
          <w:bCs/>
          <w:sz w:val="20"/>
          <w:szCs w:val="20"/>
          <w:lang w:val="fr-FR"/>
        </w:rPr>
        <w:t>’</w:t>
      </w:r>
      <w:r w:rsidRPr="00D57936">
        <w:rPr>
          <w:rFonts w:ascii="Verdana" w:hAnsi="Verdana"/>
          <w:b/>
          <w:bCs/>
          <w:sz w:val="20"/>
          <w:szCs w:val="20"/>
          <w:lang w:val="fr-FR"/>
        </w:rPr>
        <w:t>alerte précoce</w:t>
      </w:r>
      <w:r w:rsidRPr="00D57936">
        <w:rPr>
          <w:rFonts w:ascii="Verdana" w:hAnsi="Verdana"/>
          <w:sz w:val="20"/>
          <w:szCs w:val="20"/>
          <w:lang w:val="fr-FR"/>
        </w:rPr>
        <w:t xml:space="preserve">  </w:t>
      </w:r>
    </w:p>
    <w:p w14:paraId="1BF06D31" w14:textId="7A8C745B" w:rsidR="00D57936" w:rsidRPr="00D57936" w:rsidRDefault="00D57936" w:rsidP="00501AAB">
      <w:pPr>
        <w:spacing w:after="240" w:line="240" w:lineRule="auto"/>
        <w:ind w:left="1134"/>
        <w:rPr>
          <w:rFonts w:ascii="Verdana" w:hAnsi="Verdana" w:cstheme="minorHAnsi"/>
          <w:sz w:val="20"/>
          <w:szCs w:val="20"/>
        </w:rPr>
      </w:pPr>
      <w:r w:rsidRPr="00D57936">
        <w:rPr>
          <w:rFonts w:ascii="Verdana" w:hAnsi="Verdana"/>
          <w:sz w:val="20"/>
          <w:szCs w:val="20"/>
          <w:lang w:val="fr-FR"/>
        </w:rPr>
        <w:t>Les Nations Unies (ou l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D57936">
        <w:rPr>
          <w:rFonts w:ascii="Verdana" w:hAnsi="Verdana"/>
          <w:sz w:val="20"/>
          <w:szCs w:val="20"/>
          <w:lang w:val="fr-FR"/>
        </w:rPr>
        <w:t>Agence nationale de gestion des catastrophes) dressent un état des lieux général qui présente l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D57936">
        <w:rPr>
          <w:rFonts w:ascii="Verdana" w:hAnsi="Verdana"/>
          <w:sz w:val="20"/>
          <w:szCs w:val="20"/>
          <w:lang w:val="fr-FR"/>
        </w:rPr>
        <w:t>organisation des systèmes nationaux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D57936">
        <w:rPr>
          <w:rFonts w:ascii="Verdana" w:hAnsi="Verdana"/>
          <w:sz w:val="20"/>
          <w:szCs w:val="20"/>
          <w:lang w:val="fr-FR"/>
        </w:rPr>
        <w:t>alerte précoce et leur état actuel.</w:t>
      </w:r>
    </w:p>
    <w:p w14:paraId="7199A65F" w14:textId="77777777" w:rsidR="00D57936" w:rsidRPr="00D57936" w:rsidRDefault="00D57936" w:rsidP="00501AAB">
      <w:pPr>
        <w:pStyle w:val="ListParagraph"/>
        <w:numPr>
          <w:ilvl w:val="2"/>
          <w:numId w:val="16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D57936">
        <w:rPr>
          <w:rFonts w:ascii="Verdana" w:hAnsi="Verdana"/>
          <w:b/>
          <w:bCs/>
          <w:sz w:val="20"/>
          <w:szCs w:val="20"/>
          <w:lang w:val="fr-FR"/>
        </w:rPr>
        <w:t>Discussion sur les lacunes et les actions prioritaires</w:t>
      </w:r>
    </w:p>
    <w:p w14:paraId="2E9085D8" w14:textId="77777777" w:rsidR="00D57936" w:rsidRPr="00D57936" w:rsidRDefault="00D57936" w:rsidP="00501AAB">
      <w:pPr>
        <w:pStyle w:val="ListParagraph"/>
        <w:numPr>
          <w:ilvl w:val="2"/>
          <w:numId w:val="16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D57936">
        <w:rPr>
          <w:rFonts w:ascii="Verdana" w:hAnsi="Verdana"/>
          <w:b/>
          <w:bCs/>
          <w:sz w:val="20"/>
          <w:szCs w:val="20"/>
          <w:lang w:val="fr-FR"/>
        </w:rPr>
        <w:t>Proposition de mécanisme de coordination</w:t>
      </w:r>
    </w:p>
    <w:p w14:paraId="796B88B5" w14:textId="77777777" w:rsidR="00D57936" w:rsidRPr="00D57936" w:rsidRDefault="00D57936" w:rsidP="00501AAB">
      <w:pPr>
        <w:pStyle w:val="ListParagraph"/>
        <w:numPr>
          <w:ilvl w:val="2"/>
          <w:numId w:val="16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b/>
          <w:bCs/>
          <w:sz w:val="20"/>
          <w:szCs w:val="20"/>
        </w:rPr>
      </w:pPr>
      <w:r w:rsidRPr="00D57936">
        <w:rPr>
          <w:rFonts w:ascii="Verdana" w:hAnsi="Verdana"/>
          <w:b/>
          <w:bCs/>
          <w:sz w:val="20"/>
          <w:szCs w:val="20"/>
          <w:lang w:val="fr-FR"/>
        </w:rPr>
        <w:t>Prochaines étapes</w:t>
      </w:r>
    </w:p>
    <w:p w14:paraId="2D686E68" w14:textId="53751C70" w:rsidR="00A2756A" w:rsidRDefault="00D57936" w:rsidP="00501AAB">
      <w:pPr>
        <w:spacing w:after="240" w:line="240" w:lineRule="auto"/>
        <w:ind w:left="1134" w:hanging="567"/>
        <w:rPr>
          <w:rFonts w:ascii="Verdana" w:hAnsi="Verdana"/>
          <w:sz w:val="20"/>
          <w:szCs w:val="20"/>
          <w:lang w:val="fr-FR"/>
        </w:rPr>
      </w:pPr>
      <w:r w:rsidRPr="00D57936">
        <w:rPr>
          <w:rFonts w:ascii="Verdana" w:hAnsi="Verdana"/>
          <w:sz w:val="20"/>
          <w:szCs w:val="20"/>
          <w:lang w:val="fr-FR"/>
        </w:rPr>
        <w:t xml:space="preserve">Les dates provisoires de la conférence EW4All sont </w:t>
      </w:r>
      <w:r w:rsidRPr="00546AB0">
        <w:rPr>
          <w:rFonts w:ascii="Verdana" w:hAnsi="Verdana"/>
          <w:color w:val="FF0000"/>
          <w:sz w:val="20"/>
          <w:szCs w:val="20"/>
          <w:lang w:val="fr-FR"/>
        </w:rPr>
        <w:t>[DATES]</w:t>
      </w:r>
      <w:r w:rsidRPr="00D57936">
        <w:rPr>
          <w:rFonts w:ascii="Verdana" w:hAnsi="Verdana"/>
          <w:sz w:val="20"/>
          <w:szCs w:val="20"/>
          <w:lang w:val="fr-FR"/>
        </w:rPr>
        <w:t xml:space="preserve">, et elle se tiendra à </w:t>
      </w:r>
      <w:r w:rsidRPr="00546AB0">
        <w:rPr>
          <w:rFonts w:ascii="Verdana" w:hAnsi="Verdana"/>
          <w:color w:val="FF0000"/>
          <w:sz w:val="20"/>
          <w:szCs w:val="20"/>
          <w:lang w:val="fr-FR"/>
        </w:rPr>
        <w:t>[LIEU]</w:t>
      </w:r>
      <w:r w:rsidRPr="00D57936">
        <w:rPr>
          <w:rFonts w:ascii="Verdana" w:hAnsi="Verdana"/>
          <w:sz w:val="20"/>
          <w:szCs w:val="20"/>
          <w:lang w:val="fr-FR"/>
        </w:rPr>
        <w:t>.</w:t>
      </w:r>
      <w:r w:rsidR="00A2756A">
        <w:rPr>
          <w:rFonts w:ascii="Verdana" w:hAnsi="Verdana"/>
          <w:sz w:val="20"/>
          <w:szCs w:val="20"/>
          <w:lang w:val="fr-FR"/>
        </w:rPr>
        <w:br w:type="page"/>
      </w:r>
    </w:p>
    <w:p w14:paraId="7E9F602C" w14:textId="4C727755" w:rsidR="006D6208" w:rsidRPr="00AD2C84" w:rsidRDefault="00B758CA" w:rsidP="00A2756A">
      <w:pPr>
        <w:pStyle w:val="lead-text"/>
        <w:numPr>
          <w:ilvl w:val="0"/>
          <w:numId w:val="1"/>
        </w:numPr>
        <w:shd w:val="clear" w:color="auto" w:fill="FFFFFF"/>
        <w:spacing w:before="480" w:beforeAutospacing="0" w:after="240" w:afterAutospacing="0"/>
        <w:ind w:left="1170" w:hanging="1170"/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</w:pPr>
      <w:r>
        <w:rPr>
          <w:rFonts w:ascii="Verdana" w:hAnsi="Verdana" w:cstheme="minorHAnsi"/>
          <w:b/>
          <w:bCs/>
          <w:color w:val="2F5496" w:themeColor="accent1" w:themeShade="BF"/>
          <w:sz w:val="20"/>
          <w:szCs w:val="20"/>
          <w:lang w:val="en-GB"/>
        </w:rPr>
        <w:lastRenderedPageBreak/>
        <w:t>TRAVAUX DE PRÉPARATION</w:t>
      </w:r>
    </w:p>
    <w:p w14:paraId="08C0967A" w14:textId="7DDF8898" w:rsidR="000E29DC" w:rsidRPr="000E29DC" w:rsidRDefault="000E29DC" w:rsidP="000E29DC">
      <w:pPr>
        <w:pStyle w:val="ListParagraph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</w:rPr>
      </w:pPr>
      <w:r w:rsidRPr="000E29DC">
        <w:rPr>
          <w:rFonts w:ascii="Verdana" w:hAnsi="Verdana"/>
          <w:sz w:val="20"/>
          <w:szCs w:val="20"/>
          <w:lang w:val="fr-FR"/>
        </w:rPr>
        <w:t>Cartographie des parties prenantes nationales</w:t>
      </w:r>
    </w:p>
    <w:p w14:paraId="5F5972D3" w14:textId="311B0237" w:rsidR="000E29DC" w:rsidRPr="000E29DC" w:rsidRDefault="000E29DC" w:rsidP="000E29DC">
      <w:pPr>
        <w:pStyle w:val="ListParagraph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</w:rPr>
      </w:pPr>
      <w:r w:rsidRPr="000E29DC">
        <w:rPr>
          <w:rFonts w:ascii="Verdana" w:hAnsi="Verdana"/>
          <w:sz w:val="20"/>
          <w:szCs w:val="20"/>
          <w:lang w:val="fr-FR"/>
        </w:rPr>
        <w:t>Examen de</w:t>
      </w:r>
      <w:r w:rsidR="00932DB8">
        <w:rPr>
          <w:rFonts w:ascii="Verdana" w:hAnsi="Verdana"/>
          <w:sz w:val="20"/>
          <w:szCs w:val="20"/>
          <w:lang w:val="fr-FR"/>
        </w:rPr>
        <w:t xml:space="preserve">s capacités </w:t>
      </w:r>
      <w:r w:rsidR="00411147">
        <w:rPr>
          <w:rFonts w:ascii="Verdana" w:hAnsi="Verdana"/>
          <w:sz w:val="20"/>
          <w:szCs w:val="20"/>
          <w:lang w:val="fr-FR"/>
        </w:rPr>
        <w:t>de base</w:t>
      </w:r>
      <w:r w:rsidR="00932DB8">
        <w:rPr>
          <w:rFonts w:ascii="Verdana" w:hAnsi="Verdana"/>
          <w:sz w:val="20"/>
          <w:szCs w:val="20"/>
          <w:lang w:val="fr-FR"/>
        </w:rPr>
        <w:t xml:space="preserve"> </w:t>
      </w:r>
      <w:r w:rsidR="007C769C">
        <w:rPr>
          <w:rFonts w:ascii="Verdana" w:hAnsi="Verdana"/>
          <w:sz w:val="20"/>
          <w:szCs w:val="20"/>
          <w:lang w:val="fr-FR"/>
        </w:rPr>
        <w:t>minimales</w:t>
      </w:r>
      <w:r w:rsidR="00932DB8">
        <w:rPr>
          <w:rFonts w:ascii="Verdana" w:hAnsi="Verdana"/>
          <w:sz w:val="20"/>
          <w:szCs w:val="20"/>
          <w:lang w:val="fr-FR"/>
        </w:rPr>
        <w:t xml:space="preserve"> avec</w:t>
      </w:r>
      <w:r w:rsidRPr="000E29DC">
        <w:rPr>
          <w:rFonts w:ascii="Verdana" w:hAnsi="Verdana"/>
          <w:sz w:val="20"/>
          <w:szCs w:val="20"/>
          <w:lang w:val="fr-FR"/>
        </w:rPr>
        <w:t xml:space="preserve"> l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0E29DC">
        <w:rPr>
          <w:rFonts w:ascii="Verdana" w:hAnsi="Verdana"/>
          <w:sz w:val="20"/>
          <w:szCs w:val="20"/>
          <w:lang w:val="fr-FR"/>
        </w:rPr>
        <w:t>outil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0E29DC">
        <w:rPr>
          <w:rFonts w:ascii="Verdana" w:hAnsi="Verdana"/>
          <w:sz w:val="20"/>
          <w:szCs w:val="20"/>
          <w:lang w:val="fr-FR"/>
        </w:rPr>
        <w:t>analyse des lacunes</w:t>
      </w:r>
    </w:p>
    <w:p w14:paraId="31203141" w14:textId="100AF5AC" w:rsidR="00F80B6C" w:rsidRPr="006040AB" w:rsidRDefault="000E29DC" w:rsidP="00A2756A">
      <w:pPr>
        <w:pStyle w:val="ListParagraph"/>
        <w:numPr>
          <w:ilvl w:val="0"/>
          <w:numId w:val="19"/>
        </w:numPr>
        <w:spacing w:after="60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</w:rPr>
      </w:pPr>
      <w:r w:rsidRPr="000E29DC">
        <w:rPr>
          <w:rFonts w:ascii="Verdana" w:hAnsi="Verdana"/>
          <w:sz w:val="20"/>
          <w:szCs w:val="20"/>
          <w:lang w:val="fr-FR"/>
        </w:rPr>
        <w:t>Présentations sur le système d</w:t>
      </w:r>
      <w:r w:rsidR="00494BC8">
        <w:rPr>
          <w:rFonts w:ascii="Verdana" w:hAnsi="Verdana"/>
          <w:sz w:val="20"/>
          <w:szCs w:val="20"/>
          <w:lang w:val="fr-FR"/>
        </w:rPr>
        <w:t>’</w:t>
      </w:r>
      <w:r w:rsidRPr="000E29DC">
        <w:rPr>
          <w:rFonts w:ascii="Verdana" w:hAnsi="Verdana"/>
          <w:sz w:val="20"/>
          <w:szCs w:val="20"/>
          <w:lang w:val="fr-FR"/>
        </w:rPr>
        <w:t>alerte précoce</w:t>
      </w:r>
    </w:p>
    <w:p w14:paraId="724C7C23" w14:textId="32F6D5F7" w:rsidR="007076BE" w:rsidRPr="0086508E" w:rsidRDefault="0086508E" w:rsidP="00AD2C84">
      <w:pPr>
        <w:spacing w:after="240" w:line="240" w:lineRule="auto"/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86508E">
        <w:rPr>
          <w:rFonts w:ascii="Verdana" w:hAnsi="Verdana"/>
          <w:b/>
          <w:bCs/>
          <w:sz w:val="20"/>
          <w:szCs w:val="20"/>
          <w:lang w:val="fr-FR"/>
        </w:rPr>
        <w:t>Consultation nationale sur les alertes précoces pour tous : 2023</w:t>
      </w:r>
      <w:r w:rsidRPr="0086508E">
        <w:rPr>
          <w:rFonts w:ascii="Verdana" w:hAnsi="Verdana"/>
          <w:sz w:val="20"/>
          <w:szCs w:val="20"/>
          <w:lang w:val="fr-FR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6"/>
        <w:gridCol w:w="3815"/>
      </w:tblGrid>
      <w:tr w:rsidR="007076BE" w:rsidRPr="004D4BF1" w14:paraId="199BAFB1" w14:textId="77777777" w:rsidTr="00041BC5">
        <w:tc>
          <w:tcPr>
            <w:tcW w:w="1103" w:type="pct"/>
            <w:shd w:val="clear" w:color="auto" w:fill="00B050"/>
            <w:vAlign w:val="center"/>
            <w:hideMark/>
          </w:tcPr>
          <w:p w14:paraId="6078614A" w14:textId="793493AB" w:rsidR="007076BE" w:rsidRPr="00AD2C84" w:rsidRDefault="0004089F" w:rsidP="00AD2C84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Heure</w:t>
            </w:r>
          </w:p>
        </w:tc>
        <w:tc>
          <w:tcPr>
            <w:tcW w:w="1915" w:type="pct"/>
            <w:shd w:val="clear" w:color="auto" w:fill="00B050"/>
            <w:vAlign w:val="center"/>
            <w:hideMark/>
          </w:tcPr>
          <w:p w14:paraId="05392E07" w14:textId="59DB41E7" w:rsidR="007076BE" w:rsidRPr="00AD2C84" w:rsidRDefault="007076BE" w:rsidP="00AD2C84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Activit</w:t>
            </w:r>
            <w:r w:rsidR="0004089F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é</w:t>
            </w:r>
          </w:p>
        </w:tc>
        <w:tc>
          <w:tcPr>
            <w:tcW w:w="1983" w:type="pct"/>
            <w:shd w:val="clear" w:color="auto" w:fill="00B050"/>
            <w:vAlign w:val="center"/>
            <w:hideMark/>
          </w:tcPr>
          <w:p w14:paraId="7DA7635C" w14:textId="619BFB79" w:rsidR="007076BE" w:rsidRPr="00AD2C84" w:rsidRDefault="007076BE" w:rsidP="00AD2C84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Facilitat</w:t>
            </w:r>
            <w:r w:rsidR="0004089F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eur</w:t>
            </w:r>
            <w:r w:rsidRPr="00AD2C84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s / Comment</w:t>
            </w:r>
            <w:r w:rsidR="0004089F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aire</w:t>
            </w:r>
            <w:r w:rsidRPr="00AD2C84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n-GB"/>
              </w:rPr>
              <w:t>s</w:t>
            </w:r>
          </w:p>
        </w:tc>
      </w:tr>
      <w:tr w:rsidR="007076BE" w:rsidRPr="004D4BF1" w14:paraId="404B2035" w14:textId="77777777" w:rsidTr="00041BC5">
        <w:tc>
          <w:tcPr>
            <w:tcW w:w="1103" w:type="pct"/>
            <w:hideMark/>
          </w:tcPr>
          <w:p w14:paraId="04AFE91A" w14:textId="2AA2956D" w:rsidR="007076BE" w:rsidRPr="00AD2C84" w:rsidRDefault="004D4BF1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8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40 – 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9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1915" w:type="pct"/>
            <w:hideMark/>
          </w:tcPr>
          <w:p w14:paraId="6B8E4F14" w14:textId="15538A47" w:rsidR="002B3543" w:rsidRPr="002F4520" w:rsidRDefault="009054A4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Inscription (en ligne et en personne)</w:t>
            </w:r>
          </w:p>
        </w:tc>
        <w:tc>
          <w:tcPr>
            <w:tcW w:w="1983" w:type="pct"/>
          </w:tcPr>
          <w:p w14:paraId="4D7C9ACA" w14:textId="77777777" w:rsidR="007076BE" w:rsidRPr="002F4520" w:rsidRDefault="007076BE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</w:p>
        </w:tc>
      </w:tr>
      <w:tr w:rsidR="007076BE" w:rsidRPr="004D4BF1" w14:paraId="41230810" w14:textId="77777777" w:rsidTr="00041BC5">
        <w:tc>
          <w:tcPr>
            <w:tcW w:w="1103" w:type="pct"/>
            <w:hideMark/>
          </w:tcPr>
          <w:p w14:paraId="1D1F6F84" w14:textId="20386D03" w:rsidR="007076BE" w:rsidRPr="00AD2C84" w:rsidRDefault="004D4BF1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9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00 – 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9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1915" w:type="pct"/>
            <w:hideMark/>
          </w:tcPr>
          <w:p w14:paraId="5A05E1C2" w14:textId="78710A6D" w:rsidR="007076BE" w:rsidRPr="002F4520" w:rsidRDefault="00B36FB1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Ouverture et accueil des participants</w:t>
            </w:r>
          </w:p>
        </w:tc>
        <w:tc>
          <w:tcPr>
            <w:tcW w:w="1983" w:type="pct"/>
            <w:vAlign w:val="center"/>
            <w:hideMark/>
          </w:tcPr>
          <w:p w14:paraId="65C30734" w14:textId="77777777" w:rsidR="00C201F3" w:rsidRPr="002F4520" w:rsidRDefault="00C201F3" w:rsidP="00C201F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Ministre, gouvernement</w:t>
            </w:r>
          </w:p>
          <w:p w14:paraId="1AD38F09" w14:textId="1D16A525" w:rsidR="007076BE" w:rsidRPr="002F4520" w:rsidRDefault="00C201F3" w:rsidP="00C201F3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Coordonnateur-résident des Nations Unies</w:t>
            </w:r>
          </w:p>
        </w:tc>
      </w:tr>
      <w:tr w:rsidR="007076BE" w:rsidRPr="004D4BF1" w14:paraId="01EA5498" w14:textId="77777777" w:rsidTr="00041BC5">
        <w:tc>
          <w:tcPr>
            <w:tcW w:w="1103" w:type="pct"/>
            <w:hideMark/>
          </w:tcPr>
          <w:p w14:paraId="77F925B3" w14:textId="4FB30357" w:rsidR="007076BE" w:rsidRPr="00AD2C84" w:rsidRDefault="004D4BF1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9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30 – 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9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AD5E8A" w:rsidRPr="00AD2C84">
              <w:rPr>
                <w:rFonts w:ascii="Verdana" w:hAnsi="Verdana" w:cs="Calibri"/>
                <w:sz w:val="20"/>
                <w:szCs w:val="20"/>
                <w:lang w:val="en-GB"/>
              </w:rPr>
              <w:t>45</w:t>
            </w:r>
          </w:p>
        </w:tc>
        <w:tc>
          <w:tcPr>
            <w:tcW w:w="1915" w:type="pct"/>
            <w:hideMark/>
          </w:tcPr>
          <w:p w14:paraId="2C2846B4" w14:textId="7D521302" w:rsidR="002B3543" w:rsidRPr="002F4520" w:rsidRDefault="00F671CD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Présentation de l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 xml:space="preserve">initiative </w:t>
            </w:r>
            <w:r w:rsidR="00CD11E3">
              <w:rPr>
                <w:rFonts w:ascii="Verdana" w:hAnsi="Verdana"/>
                <w:sz w:val="20"/>
                <w:szCs w:val="20"/>
                <w:lang w:val="fr-FR"/>
              </w:rPr>
              <w:t>«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des alertes précoces pour tous</w:t>
            </w:r>
            <w:r w:rsidR="00CD11E3">
              <w:rPr>
                <w:rFonts w:ascii="Verdana" w:hAnsi="Verdana"/>
                <w:sz w:val="20"/>
                <w:szCs w:val="20"/>
                <w:lang w:val="fr-FR"/>
              </w:rPr>
              <w:t>»</w:t>
            </w:r>
          </w:p>
        </w:tc>
        <w:tc>
          <w:tcPr>
            <w:tcW w:w="1983" w:type="pct"/>
            <w:hideMark/>
          </w:tcPr>
          <w:p w14:paraId="202D38D7" w14:textId="272CB637" w:rsidR="007076BE" w:rsidRPr="002F4520" w:rsidRDefault="00C201F3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 w:cs="Calibri"/>
                <w:sz w:val="20"/>
                <w:szCs w:val="20"/>
                <w:lang w:val="en-GB"/>
              </w:rPr>
              <w:t>OMM</w:t>
            </w:r>
            <w:r w:rsidR="007076BE" w:rsidRPr="002F4520">
              <w:rPr>
                <w:rFonts w:ascii="Verdana" w:hAnsi="Verdana" w:cs="Calibri"/>
                <w:sz w:val="20"/>
                <w:szCs w:val="20"/>
                <w:lang w:val="en-GB"/>
              </w:rPr>
              <w:t>/ UNDRR</w:t>
            </w:r>
          </w:p>
        </w:tc>
      </w:tr>
      <w:tr w:rsidR="007076BE" w:rsidRPr="004D4BF1" w14:paraId="62424224" w14:textId="77777777" w:rsidTr="00041BC5">
        <w:tc>
          <w:tcPr>
            <w:tcW w:w="1103" w:type="pct"/>
            <w:hideMark/>
          </w:tcPr>
          <w:p w14:paraId="15BBFF72" w14:textId="132BAB53" w:rsidR="007076BE" w:rsidRPr="00AD2C84" w:rsidRDefault="004D4BF1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9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AD5E8A" w:rsidRPr="00AD2C84">
              <w:rPr>
                <w:rFonts w:ascii="Verdana" w:hAnsi="Verdana" w:cs="Calibri"/>
                <w:sz w:val="20"/>
                <w:szCs w:val="20"/>
                <w:lang w:val="en-GB"/>
              </w:rPr>
              <w:t>45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– 10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7076BE"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1915" w:type="pct"/>
          </w:tcPr>
          <w:p w14:paraId="01072A8C" w14:textId="0B5F097D" w:rsidR="002B3543" w:rsidRPr="002F4520" w:rsidRDefault="00764BEA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État des systèmes nationaux d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 xml:space="preserve">alerte précoce en </w:t>
            </w:r>
            <w:r w:rsidRPr="002F4520">
              <w:rPr>
                <w:rFonts w:ascii="Verdana" w:hAnsi="Verdana"/>
                <w:color w:val="FF0000"/>
                <w:sz w:val="20"/>
                <w:szCs w:val="20"/>
                <w:lang w:val="fr-FR"/>
              </w:rPr>
              <w:t>[PAYS]</w:t>
            </w:r>
          </w:p>
        </w:tc>
        <w:tc>
          <w:tcPr>
            <w:tcW w:w="1983" w:type="pct"/>
            <w:hideMark/>
          </w:tcPr>
          <w:p w14:paraId="0AF7DF68" w14:textId="757D2FF1" w:rsidR="007076BE" w:rsidRPr="002F4520" w:rsidRDefault="002E4B16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Représentant du gouvernement</w:t>
            </w:r>
          </w:p>
        </w:tc>
      </w:tr>
      <w:tr w:rsidR="00062FF0" w:rsidRPr="00062FF0" w14:paraId="50F6D7E9" w14:textId="77777777" w:rsidTr="00041BC5">
        <w:tc>
          <w:tcPr>
            <w:tcW w:w="1103" w:type="pct"/>
          </w:tcPr>
          <w:p w14:paraId="22F04E9C" w14:textId="4CFE9A11" w:rsidR="00062FF0" w:rsidRPr="00AD2C84" w:rsidRDefault="00062FF0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10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 xml:space="preserve"> 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10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45</w:t>
            </w:r>
          </w:p>
        </w:tc>
        <w:tc>
          <w:tcPr>
            <w:tcW w:w="3897" w:type="pct"/>
            <w:gridSpan w:val="2"/>
            <w:vAlign w:val="center"/>
          </w:tcPr>
          <w:p w14:paraId="616DEBAB" w14:textId="599D4ED9" w:rsidR="00062FF0" w:rsidRPr="002F4520" w:rsidRDefault="00764BEA" w:rsidP="00AD2C84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 w:cs="Calibri"/>
                <w:sz w:val="20"/>
                <w:szCs w:val="20"/>
                <w:lang w:val="en-GB"/>
              </w:rPr>
              <w:t>PAUSE</w:t>
            </w:r>
          </w:p>
        </w:tc>
      </w:tr>
      <w:tr w:rsidR="00AD5E8A" w:rsidRPr="004D4BF1" w14:paraId="5FC4CB55" w14:textId="77777777" w:rsidTr="00041BC5">
        <w:tc>
          <w:tcPr>
            <w:tcW w:w="1103" w:type="pct"/>
          </w:tcPr>
          <w:p w14:paraId="630A798E" w14:textId="382731BD" w:rsidR="00AD5E8A" w:rsidRPr="00AD2C84" w:rsidRDefault="00AD5E8A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10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45</w:t>
            </w:r>
            <w:r w:rsidR="004D4BF1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 w:rsidR="00AF7B2A">
              <w:rPr>
                <w:rFonts w:ascii="Verdana" w:hAnsi="Verdana" w:cs="Calibri"/>
                <w:sz w:val="20"/>
                <w:szCs w:val="20"/>
                <w:lang w:val="en-GB"/>
              </w:rPr>
              <w:t xml:space="preserve">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12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1915" w:type="pct"/>
          </w:tcPr>
          <w:p w14:paraId="23E61A9F" w14:textId="70A5750B" w:rsidR="00AD5E8A" w:rsidRPr="002F4520" w:rsidRDefault="00E518E6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Vue d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ensemble des initiatives d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alerte précoce et discussion</w:t>
            </w:r>
          </w:p>
        </w:tc>
        <w:tc>
          <w:tcPr>
            <w:tcW w:w="1983" w:type="pct"/>
          </w:tcPr>
          <w:p w14:paraId="4D981E07" w14:textId="1F610394" w:rsidR="00AD5E8A" w:rsidRPr="002F4520" w:rsidRDefault="00880444" w:rsidP="00AD2C84">
            <w:pPr>
              <w:widowControl w:val="0"/>
              <w:autoSpaceDE w:val="0"/>
              <w:autoSpaceDN w:val="0"/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Présentations des initiatives clés</w:t>
            </w:r>
          </w:p>
        </w:tc>
      </w:tr>
      <w:tr w:rsidR="00062FF0" w:rsidRPr="00062FF0" w14:paraId="0C78602E" w14:textId="77777777" w:rsidTr="00041BC5">
        <w:tc>
          <w:tcPr>
            <w:tcW w:w="1103" w:type="pct"/>
          </w:tcPr>
          <w:p w14:paraId="7C02328A" w14:textId="35FF788E" w:rsidR="00062FF0" w:rsidRPr="00AD2C84" w:rsidRDefault="00062FF0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12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 xml:space="preserve"> 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13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3897" w:type="pct"/>
            <w:gridSpan w:val="2"/>
            <w:vAlign w:val="center"/>
          </w:tcPr>
          <w:p w14:paraId="04FD8232" w14:textId="10915A76" w:rsidR="00062FF0" w:rsidRPr="002F4520" w:rsidRDefault="00764BEA" w:rsidP="00AD2C84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 w:cs="Calibri"/>
                <w:sz w:val="20"/>
                <w:szCs w:val="20"/>
                <w:lang w:val="en-GB"/>
              </w:rPr>
              <w:t>DÉJEUNER</w:t>
            </w:r>
          </w:p>
        </w:tc>
      </w:tr>
      <w:tr w:rsidR="007076BE" w:rsidRPr="004D4BF1" w14:paraId="37F2417A" w14:textId="77777777" w:rsidTr="00041BC5">
        <w:tc>
          <w:tcPr>
            <w:tcW w:w="1103" w:type="pct"/>
            <w:hideMark/>
          </w:tcPr>
          <w:p w14:paraId="61F74B4B" w14:textId="2988FCAA" w:rsidR="007076BE" w:rsidRPr="00AD2C84" w:rsidRDefault="007076BE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13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  <w:r w:rsidR="004D4BF1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 w:rsidR="00AF7B2A">
              <w:rPr>
                <w:rFonts w:ascii="Verdana" w:hAnsi="Verdana" w:cs="Calibri"/>
                <w:sz w:val="20"/>
                <w:szCs w:val="20"/>
                <w:lang w:val="en-GB"/>
              </w:rPr>
              <w:t xml:space="preserve">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15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1915" w:type="pct"/>
            <w:hideMark/>
          </w:tcPr>
          <w:p w14:paraId="671071F5" w14:textId="4EF05877" w:rsidR="007076BE" w:rsidRPr="002F4520" w:rsidRDefault="00D81267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Discussion sur l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état des piliers et/ou sur l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approche à adopter pour analyser les lacunes</w:t>
            </w:r>
          </w:p>
        </w:tc>
        <w:tc>
          <w:tcPr>
            <w:tcW w:w="1983" w:type="pct"/>
            <w:hideMark/>
          </w:tcPr>
          <w:p w14:paraId="7CF0AB8D" w14:textId="68E6026A" w:rsidR="007076BE" w:rsidRPr="002F4520" w:rsidRDefault="001A4D7A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Représentants désignés</w:t>
            </w:r>
          </w:p>
        </w:tc>
      </w:tr>
      <w:tr w:rsidR="007076BE" w:rsidRPr="004D4BF1" w14:paraId="37703CE6" w14:textId="77777777" w:rsidTr="00041BC5">
        <w:tc>
          <w:tcPr>
            <w:tcW w:w="1103" w:type="pct"/>
            <w:hideMark/>
          </w:tcPr>
          <w:p w14:paraId="034025FB" w14:textId="5D636EBB" w:rsidR="007076BE" w:rsidRPr="00AD2C84" w:rsidRDefault="007076BE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</w:t>
            </w:r>
            <w:r w:rsidR="002B3543" w:rsidRPr="00AD2C84">
              <w:rPr>
                <w:rFonts w:ascii="Verdana" w:hAnsi="Verdana" w:cs="Calibri"/>
                <w:sz w:val="20"/>
                <w:szCs w:val="20"/>
                <w:lang w:val="en-GB"/>
              </w:rPr>
              <w:t>5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AD5E8A" w:rsidRPr="00AD2C84">
              <w:rPr>
                <w:rFonts w:ascii="Verdana" w:hAnsi="Verdana" w:cs="Calibri"/>
                <w:sz w:val="20"/>
                <w:szCs w:val="20"/>
                <w:lang w:val="en-GB"/>
              </w:rPr>
              <w:t>3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0</w:t>
            </w:r>
            <w:r w:rsidR="004D4BF1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 w:rsidR="00AF7B2A">
              <w:rPr>
                <w:rFonts w:ascii="Verdana" w:hAnsi="Verdana" w:cs="Calibri"/>
                <w:sz w:val="20"/>
                <w:szCs w:val="20"/>
                <w:lang w:val="en-GB"/>
              </w:rPr>
              <w:t xml:space="preserve">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</w:t>
            </w:r>
            <w:r w:rsidR="002B3543" w:rsidRPr="00AD2C84">
              <w:rPr>
                <w:rFonts w:ascii="Verdana" w:hAnsi="Verdana" w:cs="Calibri"/>
                <w:sz w:val="20"/>
                <w:szCs w:val="20"/>
                <w:lang w:val="en-GB"/>
              </w:rPr>
              <w:t>6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1915" w:type="pct"/>
          </w:tcPr>
          <w:p w14:paraId="7793C6B9" w14:textId="7CBCD771" w:rsidR="007076BE" w:rsidRPr="002F4520" w:rsidRDefault="000A6BC0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 xml:space="preserve">Accord sur un mécanisme de coordination  </w:t>
            </w:r>
          </w:p>
        </w:tc>
        <w:tc>
          <w:tcPr>
            <w:tcW w:w="1983" w:type="pct"/>
            <w:hideMark/>
          </w:tcPr>
          <w:p w14:paraId="7B3B9280" w14:textId="4242B56F" w:rsidR="007076BE" w:rsidRPr="002F4520" w:rsidRDefault="00214BCF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Gouvernement, système des Nations Unies, mouvement de la Croix-Rouge, parties prenantes</w:t>
            </w:r>
          </w:p>
        </w:tc>
      </w:tr>
      <w:tr w:rsidR="007076BE" w:rsidRPr="004D4BF1" w14:paraId="50BE7284" w14:textId="77777777" w:rsidTr="00041BC5">
        <w:tc>
          <w:tcPr>
            <w:tcW w:w="1103" w:type="pct"/>
          </w:tcPr>
          <w:p w14:paraId="67DD1BE5" w14:textId="7B3A96EB" w:rsidR="007076BE" w:rsidRPr="00AD2C84" w:rsidRDefault="007076BE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</w:t>
            </w:r>
            <w:r w:rsidR="002B3543" w:rsidRPr="00AD2C84">
              <w:rPr>
                <w:rFonts w:ascii="Verdana" w:hAnsi="Verdana" w:cs="Calibri"/>
                <w:sz w:val="20"/>
                <w:szCs w:val="20"/>
                <w:lang w:val="en-GB"/>
              </w:rPr>
              <w:t>6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00</w:t>
            </w:r>
            <w:r w:rsidR="004D4BF1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 w:rsidR="00AF7B2A">
              <w:rPr>
                <w:rFonts w:ascii="Verdana" w:hAnsi="Verdana" w:cs="Calibri"/>
                <w:sz w:val="20"/>
                <w:szCs w:val="20"/>
                <w:lang w:val="en-GB"/>
              </w:rPr>
              <w:t xml:space="preserve">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17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1915" w:type="pct"/>
          </w:tcPr>
          <w:p w14:paraId="2883FFF4" w14:textId="16385696" w:rsidR="007076BE" w:rsidRPr="002F4520" w:rsidRDefault="004479A2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fr-CH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Élaboration d</w:t>
            </w:r>
            <w:r w:rsidR="00494BC8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une feuille de route nationale</w:t>
            </w:r>
          </w:p>
        </w:tc>
        <w:tc>
          <w:tcPr>
            <w:tcW w:w="1983" w:type="pct"/>
          </w:tcPr>
          <w:p w14:paraId="6AFEEC5C" w14:textId="0343403E" w:rsidR="007076BE" w:rsidRPr="002F4520" w:rsidRDefault="00AD5E8A" w:rsidP="00AD2C84">
            <w:pPr>
              <w:widowControl w:val="0"/>
              <w:autoSpaceDE w:val="0"/>
              <w:autoSpaceDN w:val="0"/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 w:cs="Calibri"/>
                <w:sz w:val="20"/>
                <w:szCs w:val="20"/>
                <w:lang w:val="en-GB"/>
              </w:rPr>
              <w:t>National</w:t>
            </w:r>
          </w:p>
        </w:tc>
      </w:tr>
      <w:tr w:rsidR="007076BE" w:rsidRPr="004D4BF1" w14:paraId="61A23318" w14:textId="77777777" w:rsidTr="00041BC5">
        <w:tc>
          <w:tcPr>
            <w:tcW w:w="1103" w:type="pct"/>
            <w:hideMark/>
          </w:tcPr>
          <w:p w14:paraId="601BFFAF" w14:textId="65E3B32B" w:rsidR="007076BE" w:rsidRPr="00AD2C84" w:rsidRDefault="007076BE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</w:t>
            </w:r>
            <w:r w:rsidR="00AD5E8A" w:rsidRPr="00AD2C84">
              <w:rPr>
                <w:rFonts w:ascii="Verdana" w:hAnsi="Verdana" w:cs="Calibri"/>
                <w:sz w:val="20"/>
                <w:szCs w:val="20"/>
                <w:lang w:val="en-GB"/>
              </w:rPr>
              <w:t>7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="00AD5E8A" w:rsidRPr="00AD2C84">
              <w:rPr>
                <w:rFonts w:ascii="Verdana" w:hAnsi="Verdana" w:cs="Calibri"/>
                <w:sz w:val="20"/>
                <w:szCs w:val="20"/>
                <w:lang w:val="en-GB"/>
              </w:rPr>
              <w:t>15</w:t>
            </w:r>
            <w:r w:rsidR="004D4BF1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 w:rsidR="00AF7B2A">
              <w:rPr>
                <w:rFonts w:ascii="Verdana" w:hAnsi="Verdana" w:cs="Calibri"/>
                <w:sz w:val="20"/>
                <w:szCs w:val="20"/>
                <w:lang w:val="en-GB"/>
              </w:rPr>
              <w:t xml:space="preserve">–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1</w:t>
            </w:r>
            <w:r w:rsidR="00AD5E8A" w:rsidRPr="00AD2C84">
              <w:rPr>
                <w:rFonts w:ascii="Verdana" w:hAnsi="Verdana" w:cs="Calibri"/>
                <w:sz w:val="20"/>
                <w:szCs w:val="20"/>
                <w:lang w:val="en-GB"/>
              </w:rPr>
              <w:t>8</w:t>
            </w:r>
            <w:r w:rsidR="00041BC5">
              <w:rPr>
                <w:rFonts w:ascii="Verdana" w:hAnsi="Verdana" w:cs="Calibri"/>
                <w:sz w:val="20"/>
                <w:szCs w:val="20"/>
                <w:lang w:val="en-CH"/>
              </w:rPr>
              <w:t xml:space="preserve"> h </w:t>
            </w:r>
            <w:r w:rsidRPr="00AD2C84">
              <w:rPr>
                <w:rFonts w:ascii="Verdana" w:hAnsi="Verdana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1915" w:type="pct"/>
            <w:hideMark/>
          </w:tcPr>
          <w:p w14:paraId="2D2CC8EC" w14:textId="42236030" w:rsidR="007076BE" w:rsidRPr="002F4520" w:rsidRDefault="002F4520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2F4520">
              <w:rPr>
                <w:rFonts w:ascii="Verdana" w:hAnsi="Verdana"/>
                <w:sz w:val="20"/>
                <w:szCs w:val="20"/>
                <w:lang w:val="fr-FR"/>
              </w:rPr>
              <w:t>Remarques de conclusion</w:t>
            </w:r>
          </w:p>
        </w:tc>
        <w:tc>
          <w:tcPr>
            <w:tcW w:w="1983" w:type="pct"/>
          </w:tcPr>
          <w:p w14:paraId="2A24D23D" w14:textId="5E88778C" w:rsidR="007076BE" w:rsidRPr="002F4520" w:rsidRDefault="007076BE" w:rsidP="00AD2C84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</w:tbl>
    <w:p w14:paraId="7605B21B" w14:textId="436F6013" w:rsidR="007076BE" w:rsidRPr="00FF224B" w:rsidRDefault="007076BE" w:rsidP="00AD2C84">
      <w:pPr>
        <w:spacing w:after="240" w:line="240" w:lineRule="auto"/>
        <w:rPr>
          <w:rFonts w:ascii="Verdana" w:hAnsi="Verdana" w:cs="Times New Roman"/>
          <w:sz w:val="20"/>
          <w:szCs w:val="20"/>
          <w:lang w:val="en-GB"/>
        </w:rPr>
      </w:pPr>
    </w:p>
    <w:p w14:paraId="1E1C2C02" w14:textId="5B14E277" w:rsidR="005323D7" w:rsidRPr="00AD2C84" w:rsidRDefault="00F80B6C" w:rsidP="00041BC5">
      <w:pPr>
        <w:spacing w:after="240" w:line="240" w:lineRule="auto"/>
        <w:jc w:val="center"/>
        <w:rPr>
          <w:rFonts w:ascii="Verdana" w:hAnsi="Verdana" w:cstheme="minorHAnsi"/>
          <w:sz w:val="20"/>
          <w:szCs w:val="20"/>
          <w:lang w:val="en-GB"/>
        </w:rPr>
      </w:pPr>
      <w:r>
        <w:rPr>
          <w:rFonts w:ascii="Verdana" w:hAnsi="Verdana" w:cstheme="minorHAnsi"/>
          <w:sz w:val="20"/>
          <w:szCs w:val="20"/>
          <w:lang w:val="en-GB"/>
        </w:rPr>
        <w:t>_________</w:t>
      </w:r>
      <w:r w:rsidR="00FF224B">
        <w:rPr>
          <w:rFonts w:ascii="Verdana" w:hAnsi="Verdana" w:cstheme="minorHAnsi"/>
          <w:sz w:val="20"/>
          <w:szCs w:val="20"/>
          <w:lang w:val="en-GB"/>
        </w:rPr>
        <w:t>___</w:t>
      </w:r>
    </w:p>
    <w:sectPr w:rsidR="005323D7" w:rsidRPr="00AD2C84" w:rsidSect="003D402B">
      <w:headerReference w:type="default" r:id="rId11"/>
      <w:footerReference w:type="default" r:id="rId12"/>
      <w:pgSz w:w="11901" w:h="1681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124E" w14:textId="77777777" w:rsidR="00830865" w:rsidRDefault="00830865" w:rsidP="008A0E20">
      <w:pPr>
        <w:spacing w:after="0" w:line="240" w:lineRule="auto"/>
      </w:pPr>
      <w:r>
        <w:separator/>
      </w:r>
    </w:p>
  </w:endnote>
  <w:endnote w:type="continuationSeparator" w:id="0">
    <w:p w14:paraId="24611024" w14:textId="77777777" w:rsidR="00830865" w:rsidRDefault="00830865" w:rsidP="008A0E20">
      <w:pPr>
        <w:spacing w:after="0" w:line="240" w:lineRule="auto"/>
      </w:pPr>
      <w:r>
        <w:continuationSeparator/>
      </w:r>
    </w:p>
  </w:endnote>
  <w:endnote w:type="continuationNotice" w:id="1">
    <w:p w14:paraId="4DB12E90" w14:textId="77777777" w:rsidR="00830865" w:rsidRDefault="00830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C379" w14:textId="41E34292" w:rsidR="008A0E20" w:rsidRPr="00D57D62" w:rsidRDefault="008A0E20" w:rsidP="00970DA6">
    <w:pPr>
      <w:pStyle w:val="Footer"/>
      <w:jc w:val="right"/>
      <w:rPr>
        <w:sz w:val="2"/>
        <w:szCs w:val="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0D21" w14:textId="77777777" w:rsidR="00830865" w:rsidRDefault="00830865" w:rsidP="008A0E20">
      <w:pPr>
        <w:spacing w:after="0" w:line="240" w:lineRule="auto"/>
      </w:pPr>
      <w:r>
        <w:separator/>
      </w:r>
    </w:p>
  </w:footnote>
  <w:footnote w:type="continuationSeparator" w:id="0">
    <w:p w14:paraId="74E7FFD2" w14:textId="77777777" w:rsidR="00830865" w:rsidRDefault="00830865" w:rsidP="008A0E20">
      <w:pPr>
        <w:spacing w:after="0" w:line="240" w:lineRule="auto"/>
      </w:pPr>
      <w:r>
        <w:continuationSeparator/>
      </w:r>
    </w:p>
  </w:footnote>
  <w:footnote w:type="continuationNotice" w:id="1">
    <w:p w14:paraId="664DC4D9" w14:textId="77777777" w:rsidR="00830865" w:rsidRDefault="00830865">
      <w:pPr>
        <w:spacing w:after="0" w:line="240" w:lineRule="auto"/>
      </w:pPr>
    </w:p>
  </w:footnote>
  <w:footnote w:id="2">
    <w:p w14:paraId="7EBA9AF0" w14:textId="28FA350B" w:rsidR="009A4855" w:rsidRPr="00846EF0" w:rsidRDefault="009A4855" w:rsidP="00C234EA">
      <w:pPr>
        <w:pStyle w:val="FootnoteText"/>
        <w:ind w:left="284" w:hanging="284"/>
        <w:rPr>
          <w:rFonts w:ascii="Verdana" w:hAnsi="Verdana"/>
          <w:sz w:val="18"/>
          <w:szCs w:val="18"/>
          <w:lang w:val="en-US"/>
        </w:rPr>
      </w:pPr>
      <w:r>
        <w:rPr>
          <w:rStyle w:val="FootnoteReference"/>
        </w:rPr>
        <w:footnoteRef/>
      </w:r>
      <w:r w:rsidR="00C234EA">
        <w:tab/>
      </w:r>
      <w:hyperlink r:id="rId1" w:history="1">
        <w:r w:rsidR="004C3AB4" w:rsidRPr="00C234EA">
          <w:rPr>
            <w:rStyle w:val="Hyperlink"/>
            <w:rFonts w:ascii="Verdana" w:hAnsi="Verdana"/>
            <w:sz w:val="18"/>
            <w:szCs w:val="18"/>
            <w:u w:val="none"/>
          </w:rPr>
          <w:t>Adapt now: a global call for leadership on climate resilience, Commission mondiale sur l'adaptation (2019)</w:t>
        </w:r>
      </w:hyperlink>
    </w:p>
  </w:footnote>
  <w:footnote w:id="3">
    <w:p w14:paraId="124D1C95" w14:textId="4FFBA28B" w:rsidR="00777B3D" w:rsidRPr="00846EF0" w:rsidRDefault="00777B3D" w:rsidP="00C234EA">
      <w:pPr>
        <w:pStyle w:val="FootnoteText"/>
        <w:ind w:left="284" w:hanging="284"/>
        <w:rPr>
          <w:lang w:val="en-US"/>
        </w:rPr>
      </w:pPr>
      <w:r w:rsidRPr="00846EF0">
        <w:rPr>
          <w:rStyle w:val="FootnoteReference"/>
          <w:rFonts w:ascii="Verdana" w:hAnsi="Verdana"/>
          <w:sz w:val="18"/>
          <w:szCs w:val="18"/>
        </w:rPr>
        <w:footnoteRef/>
      </w:r>
      <w:r w:rsidR="00C234EA">
        <w:rPr>
          <w:rFonts w:ascii="Verdana" w:hAnsi="Verdana"/>
          <w:sz w:val="18"/>
          <w:szCs w:val="18"/>
        </w:rPr>
        <w:tab/>
      </w:r>
      <w:hyperlink r:id="rId2" w:history="1">
        <w:r w:rsidR="00C234EA" w:rsidRPr="00C234EA">
          <w:rPr>
            <w:rStyle w:val="Hyperlink"/>
            <w:rFonts w:ascii="Verdana" w:hAnsi="Verdana"/>
            <w:sz w:val="18"/>
            <w:szCs w:val="18"/>
            <w:u w:val="none"/>
          </w:rPr>
          <w:t>https://www.preventionweb.net/publication/early-warnings-all-executive-action-plan-2023-2027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2130" w14:textId="2D9E527D" w:rsidR="006355AB" w:rsidRPr="003D402B" w:rsidRDefault="006040AB" w:rsidP="00F24B81">
    <w:pPr>
      <w:pStyle w:val="Header"/>
      <w:spacing w:after="360"/>
      <w:jc w:val="center"/>
      <w:rPr>
        <w:rFonts w:ascii="Verdana" w:hAnsi="Verdana"/>
        <w:sz w:val="18"/>
        <w:szCs w:val="18"/>
      </w:rPr>
    </w:pPr>
    <w:r w:rsidRPr="003D402B">
      <w:rPr>
        <w:rFonts w:ascii="Verdana" w:hAnsi="Verdana"/>
        <w:noProof/>
        <w:sz w:val="18"/>
        <w:szCs w:val="18"/>
        <w:lang w:val="en-CH"/>
      </w:rPr>
      <w:t>-</w:t>
    </w:r>
    <w:r w:rsidR="00D57D62" w:rsidRPr="003D402B">
      <w:rPr>
        <w:sz w:val="18"/>
        <w:szCs w:val="18"/>
        <w:lang w:val="en-CH"/>
      </w:rPr>
      <w:t xml:space="preserve"> </w:t>
    </w:r>
    <w:sdt>
      <w:sdtPr>
        <w:rPr>
          <w:sz w:val="18"/>
          <w:szCs w:val="18"/>
        </w:rPr>
        <w:id w:val="-652911065"/>
        <w:docPartObj>
          <w:docPartGallery w:val="Page Numbers (Top of Page)"/>
          <w:docPartUnique/>
        </w:docPartObj>
      </w:sdtPr>
      <w:sdtEndPr>
        <w:rPr>
          <w:rFonts w:ascii="Verdana" w:hAnsi="Verdana"/>
          <w:noProof/>
        </w:rPr>
      </w:sdtEndPr>
      <w:sdtContent>
        <w:r w:rsidR="00D57D62" w:rsidRPr="003D402B">
          <w:rPr>
            <w:rFonts w:ascii="Verdana" w:hAnsi="Verdana"/>
            <w:sz w:val="18"/>
            <w:szCs w:val="18"/>
          </w:rPr>
          <w:fldChar w:fldCharType="begin"/>
        </w:r>
        <w:r w:rsidR="00D57D62" w:rsidRPr="003D402B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D57D62" w:rsidRPr="003D402B">
          <w:rPr>
            <w:rFonts w:ascii="Verdana" w:hAnsi="Verdana"/>
            <w:sz w:val="18"/>
            <w:szCs w:val="18"/>
          </w:rPr>
          <w:fldChar w:fldCharType="separate"/>
        </w:r>
        <w:r w:rsidR="00D57D62" w:rsidRPr="003D402B">
          <w:rPr>
            <w:rFonts w:ascii="Verdana" w:hAnsi="Verdana"/>
            <w:sz w:val="18"/>
            <w:szCs w:val="18"/>
          </w:rPr>
          <w:t>2</w:t>
        </w:r>
        <w:r w:rsidR="00D57D62" w:rsidRPr="003D402B">
          <w:rPr>
            <w:rFonts w:ascii="Verdana" w:hAnsi="Verdana"/>
            <w:noProof/>
            <w:sz w:val="18"/>
            <w:szCs w:val="18"/>
          </w:rPr>
          <w:fldChar w:fldCharType="end"/>
        </w:r>
        <w:r w:rsidR="00D57D62" w:rsidRPr="003D402B">
          <w:rPr>
            <w:rFonts w:ascii="Verdana" w:hAnsi="Verdana"/>
            <w:noProof/>
            <w:sz w:val="18"/>
            <w:szCs w:val="18"/>
            <w:lang w:val="en-CH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95"/>
    <w:multiLevelType w:val="hybridMultilevel"/>
    <w:tmpl w:val="5210982E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FD6"/>
    <w:multiLevelType w:val="hybridMultilevel"/>
    <w:tmpl w:val="559251A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308C"/>
    <w:multiLevelType w:val="multilevel"/>
    <w:tmpl w:val="6158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75C02"/>
    <w:multiLevelType w:val="hybridMultilevel"/>
    <w:tmpl w:val="F5FC54B0"/>
    <w:lvl w:ilvl="0" w:tplc="6C26740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AFA0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646A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C1E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2F94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AB28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4D39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169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40F3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C69"/>
    <w:multiLevelType w:val="hybridMultilevel"/>
    <w:tmpl w:val="8CA0565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2D47"/>
    <w:multiLevelType w:val="hybridMultilevel"/>
    <w:tmpl w:val="F38A92E0"/>
    <w:lvl w:ilvl="0" w:tplc="6042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2000"/>
    <w:multiLevelType w:val="hybridMultilevel"/>
    <w:tmpl w:val="C392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0511E"/>
    <w:multiLevelType w:val="hybridMultilevel"/>
    <w:tmpl w:val="667C3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608"/>
    <w:multiLevelType w:val="multilevel"/>
    <w:tmpl w:val="FF66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75D7A"/>
    <w:multiLevelType w:val="multilevel"/>
    <w:tmpl w:val="618A4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617CA"/>
    <w:multiLevelType w:val="hybridMultilevel"/>
    <w:tmpl w:val="B2B0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94E"/>
    <w:multiLevelType w:val="hybridMultilevel"/>
    <w:tmpl w:val="3004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2313"/>
    <w:multiLevelType w:val="hybridMultilevel"/>
    <w:tmpl w:val="D0E2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4ABC"/>
    <w:multiLevelType w:val="hybridMultilevel"/>
    <w:tmpl w:val="C1849ABE"/>
    <w:lvl w:ilvl="0" w:tplc="1B02786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422782"/>
    <w:multiLevelType w:val="hybridMultilevel"/>
    <w:tmpl w:val="A142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D285F"/>
    <w:multiLevelType w:val="hybridMultilevel"/>
    <w:tmpl w:val="CAAA6DBA"/>
    <w:lvl w:ilvl="0" w:tplc="6AE68F5C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05E31"/>
    <w:multiLevelType w:val="hybridMultilevel"/>
    <w:tmpl w:val="A008D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07F15"/>
    <w:multiLevelType w:val="hybridMultilevel"/>
    <w:tmpl w:val="5DB8F02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94B42"/>
    <w:multiLevelType w:val="hybridMultilevel"/>
    <w:tmpl w:val="996896C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E77B0"/>
    <w:multiLevelType w:val="hybridMultilevel"/>
    <w:tmpl w:val="4C6C4D2A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5D3E6B5A"/>
    <w:multiLevelType w:val="hybridMultilevel"/>
    <w:tmpl w:val="539E4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7F1E"/>
    <w:multiLevelType w:val="hybridMultilevel"/>
    <w:tmpl w:val="D9483D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CC32E8"/>
    <w:multiLevelType w:val="multilevel"/>
    <w:tmpl w:val="4832F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57778A"/>
    <w:multiLevelType w:val="hybridMultilevel"/>
    <w:tmpl w:val="5686B2E0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6C8B"/>
    <w:multiLevelType w:val="hybridMultilevel"/>
    <w:tmpl w:val="559251A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6840">
    <w:abstractNumId w:val="15"/>
  </w:num>
  <w:num w:numId="2" w16cid:durableId="880169817">
    <w:abstractNumId w:val="16"/>
  </w:num>
  <w:num w:numId="3" w16cid:durableId="790175139">
    <w:abstractNumId w:val="21"/>
  </w:num>
  <w:num w:numId="4" w16cid:durableId="315695232">
    <w:abstractNumId w:val="20"/>
  </w:num>
  <w:num w:numId="5" w16cid:durableId="2083016937">
    <w:abstractNumId w:val="7"/>
  </w:num>
  <w:num w:numId="6" w16cid:durableId="1477379987">
    <w:abstractNumId w:val="23"/>
  </w:num>
  <w:num w:numId="7" w16cid:durableId="908733983">
    <w:abstractNumId w:val="13"/>
  </w:num>
  <w:num w:numId="8" w16cid:durableId="349138613">
    <w:abstractNumId w:val="0"/>
  </w:num>
  <w:num w:numId="9" w16cid:durableId="1515455744">
    <w:abstractNumId w:val="1"/>
  </w:num>
  <w:num w:numId="10" w16cid:durableId="2022076086">
    <w:abstractNumId w:val="18"/>
  </w:num>
  <w:num w:numId="11" w16cid:durableId="257754661">
    <w:abstractNumId w:val="17"/>
  </w:num>
  <w:num w:numId="12" w16cid:durableId="2004697873">
    <w:abstractNumId w:val="9"/>
  </w:num>
  <w:num w:numId="13" w16cid:durableId="275603980">
    <w:abstractNumId w:val="22"/>
  </w:num>
  <w:num w:numId="14" w16cid:durableId="648359828">
    <w:abstractNumId w:val="2"/>
  </w:num>
  <w:num w:numId="15" w16cid:durableId="5183162">
    <w:abstractNumId w:val="10"/>
  </w:num>
  <w:num w:numId="16" w16cid:durableId="1370956841">
    <w:abstractNumId w:val="8"/>
  </w:num>
  <w:num w:numId="17" w16cid:durableId="1621765333">
    <w:abstractNumId w:val="3"/>
  </w:num>
  <w:num w:numId="18" w16cid:durableId="1442066309">
    <w:abstractNumId w:val="24"/>
  </w:num>
  <w:num w:numId="19" w16cid:durableId="417214151">
    <w:abstractNumId w:val="12"/>
  </w:num>
  <w:num w:numId="20" w16cid:durableId="1224214947">
    <w:abstractNumId w:val="11"/>
  </w:num>
  <w:num w:numId="21" w16cid:durableId="160239778">
    <w:abstractNumId w:val="19"/>
  </w:num>
  <w:num w:numId="22" w16cid:durableId="1767964777">
    <w:abstractNumId w:val="14"/>
  </w:num>
  <w:num w:numId="23" w16cid:durableId="856426843">
    <w:abstractNumId w:val="6"/>
  </w:num>
  <w:num w:numId="24" w16cid:durableId="313264007">
    <w:abstractNumId w:val="4"/>
  </w:num>
  <w:num w:numId="25" w16cid:durableId="36479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10"/>
    <w:rsid w:val="00002AA7"/>
    <w:rsid w:val="00007415"/>
    <w:rsid w:val="0001250F"/>
    <w:rsid w:val="00012FF2"/>
    <w:rsid w:val="00026E0C"/>
    <w:rsid w:val="0003577B"/>
    <w:rsid w:val="0004089F"/>
    <w:rsid w:val="00040A28"/>
    <w:rsid w:val="00041BC5"/>
    <w:rsid w:val="00043530"/>
    <w:rsid w:val="00045E4E"/>
    <w:rsid w:val="00062596"/>
    <w:rsid w:val="00062FF0"/>
    <w:rsid w:val="0008511B"/>
    <w:rsid w:val="00090CDB"/>
    <w:rsid w:val="00093A19"/>
    <w:rsid w:val="00094838"/>
    <w:rsid w:val="000A6BC0"/>
    <w:rsid w:val="000A777E"/>
    <w:rsid w:val="000B3220"/>
    <w:rsid w:val="000B7663"/>
    <w:rsid w:val="000C73B1"/>
    <w:rsid w:val="000C7B30"/>
    <w:rsid w:val="000D3F83"/>
    <w:rsid w:val="000D498C"/>
    <w:rsid w:val="000D61D5"/>
    <w:rsid w:val="000E29DC"/>
    <w:rsid w:val="000E2EB5"/>
    <w:rsid w:val="000E49DB"/>
    <w:rsid w:val="000E5E77"/>
    <w:rsid w:val="000E62A8"/>
    <w:rsid w:val="000F09CD"/>
    <w:rsid w:val="0011122E"/>
    <w:rsid w:val="00112C7E"/>
    <w:rsid w:val="00115CFE"/>
    <w:rsid w:val="00116FF1"/>
    <w:rsid w:val="00121541"/>
    <w:rsid w:val="0012157A"/>
    <w:rsid w:val="00130BDE"/>
    <w:rsid w:val="001330BC"/>
    <w:rsid w:val="00133361"/>
    <w:rsid w:val="001403F9"/>
    <w:rsid w:val="0014246E"/>
    <w:rsid w:val="00142C09"/>
    <w:rsid w:val="00142F5E"/>
    <w:rsid w:val="001605C5"/>
    <w:rsid w:val="00164486"/>
    <w:rsid w:val="00165775"/>
    <w:rsid w:val="00165846"/>
    <w:rsid w:val="00171412"/>
    <w:rsid w:val="001719EE"/>
    <w:rsid w:val="00172C95"/>
    <w:rsid w:val="00173D93"/>
    <w:rsid w:val="001770D0"/>
    <w:rsid w:val="001778BE"/>
    <w:rsid w:val="00180DB4"/>
    <w:rsid w:val="00193E93"/>
    <w:rsid w:val="0019412D"/>
    <w:rsid w:val="00197B0F"/>
    <w:rsid w:val="001A1F1D"/>
    <w:rsid w:val="001A462E"/>
    <w:rsid w:val="001A483C"/>
    <w:rsid w:val="001A4D7A"/>
    <w:rsid w:val="001A5BEA"/>
    <w:rsid w:val="001B7C99"/>
    <w:rsid w:val="001C3500"/>
    <w:rsid w:val="001C47F9"/>
    <w:rsid w:val="001D447D"/>
    <w:rsid w:val="001E1471"/>
    <w:rsid w:val="001E2067"/>
    <w:rsid w:val="001E4BEA"/>
    <w:rsid w:val="001F4D8B"/>
    <w:rsid w:val="001F4DCF"/>
    <w:rsid w:val="0020714E"/>
    <w:rsid w:val="002110AF"/>
    <w:rsid w:val="002118C0"/>
    <w:rsid w:val="00214BCF"/>
    <w:rsid w:val="00217243"/>
    <w:rsid w:val="00227DB6"/>
    <w:rsid w:val="002338AA"/>
    <w:rsid w:val="002418F1"/>
    <w:rsid w:val="002453BF"/>
    <w:rsid w:val="00247116"/>
    <w:rsid w:val="002655A1"/>
    <w:rsid w:val="00274501"/>
    <w:rsid w:val="002864FD"/>
    <w:rsid w:val="00291864"/>
    <w:rsid w:val="00296078"/>
    <w:rsid w:val="002A2210"/>
    <w:rsid w:val="002A65D5"/>
    <w:rsid w:val="002B2870"/>
    <w:rsid w:val="002B3543"/>
    <w:rsid w:val="002B506F"/>
    <w:rsid w:val="002B568C"/>
    <w:rsid w:val="002C2377"/>
    <w:rsid w:val="002C3F66"/>
    <w:rsid w:val="002C4021"/>
    <w:rsid w:val="002C5789"/>
    <w:rsid w:val="002C5FE8"/>
    <w:rsid w:val="002D2689"/>
    <w:rsid w:val="002D2B28"/>
    <w:rsid w:val="002D68A9"/>
    <w:rsid w:val="002E126D"/>
    <w:rsid w:val="002E43CE"/>
    <w:rsid w:val="002E4B16"/>
    <w:rsid w:val="002E51F6"/>
    <w:rsid w:val="002F18E6"/>
    <w:rsid w:val="002F429B"/>
    <w:rsid w:val="002F42E3"/>
    <w:rsid w:val="002F4520"/>
    <w:rsid w:val="002F5892"/>
    <w:rsid w:val="002F58E4"/>
    <w:rsid w:val="002F5FB3"/>
    <w:rsid w:val="002F6881"/>
    <w:rsid w:val="00302F51"/>
    <w:rsid w:val="003109DF"/>
    <w:rsid w:val="00322AE1"/>
    <w:rsid w:val="00322C56"/>
    <w:rsid w:val="00332FD1"/>
    <w:rsid w:val="00336613"/>
    <w:rsid w:val="003376A2"/>
    <w:rsid w:val="003379A0"/>
    <w:rsid w:val="0034385F"/>
    <w:rsid w:val="003452D9"/>
    <w:rsid w:val="003513A9"/>
    <w:rsid w:val="00351A35"/>
    <w:rsid w:val="00352CD7"/>
    <w:rsid w:val="003659BD"/>
    <w:rsid w:val="00383296"/>
    <w:rsid w:val="00384935"/>
    <w:rsid w:val="00394298"/>
    <w:rsid w:val="003A4E1D"/>
    <w:rsid w:val="003A5BE7"/>
    <w:rsid w:val="003A5E15"/>
    <w:rsid w:val="003A7A8C"/>
    <w:rsid w:val="003B083B"/>
    <w:rsid w:val="003B283F"/>
    <w:rsid w:val="003C2C0C"/>
    <w:rsid w:val="003C4361"/>
    <w:rsid w:val="003D12AB"/>
    <w:rsid w:val="003D402B"/>
    <w:rsid w:val="003E61DE"/>
    <w:rsid w:val="003F210D"/>
    <w:rsid w:val="00403490"/>
    <w:rsid w:val="004066BF"/>
    <w:rsid w:val="00411147"/>
    <w:rsid w:val="004168BA"/>
    <w:rsid w:val="00425FAE"/>
    <w:rsid w:val="00436526"/>
    <w:rsid w:val="00436AC8"/>
    <w:rsid w:val="0044381D"/>
    <w:rsid w:val="004479A2"/>
    <w:rsid w:val="00447C26"/>
    <w:rsid w:val="0045373F"/>
    <w:rsid w:val="00461FEC"/>
    <w:rsid w:val="00462906"/>
    <w:rsid w:val="00462C8B"/>
    <w:rsid w:val="00464714"/>
    <w:rsid w:val="004659AE"/>
    <w:rsid w:val="00466C65"/>
    <w:rsid w:val="00470DC4"/>
    <w:rsid w:val="00471A6D"/>
    <w:rsid w:val="0047585C"/>
    <w:rsid w:val="00476DF6"/>
    <w:rsid w:val="00482CAB"/>
    <w:rsid w:val="004847F3"/>
    <w:rsid w:val="00487626"/>
    <w:rsid w:val="0049398D"/>
    <w:rsid w:val="00494BC8"/>
    <w:rsid w:val="004957FB"/>
    <w:rsid w:val="004A295A"/>
    <w:rsid w:val="004A4328"/>
    <w:rsid w:val="004A5BC7"/>
    <w:rsid w:val="004A6056"/>
    <w:rsid w:val="004A699C"/>
    <w:rsid w:val="004A7A6F"/>
    <w:rsid w:val="004C0B90"/>
    <w:rsid w:val="004C3AB4"/>
    <w:rsid w:val="004D290B"/>
    <w:rsid w:val="004D3785"/>
    <w:rsid w:val="004D4BF1"/>
    <w:rsid w:val="004D5F75"/>
    <w:rsid w:val="004E0786"/>
    <w:rsid w:val="004E7AD8"/>
    <w:rsid w:val="00501AAB"/>
    <w:rsid w:val="00502790"/>
    <w:rsid w:val="0051410E"/>
    <w:rsid w:val="0052743F"/>
    <w:rsid w:val="005276A6"/>
    <w:rsid w:val="00530680"/>
    <w:rsid w:val="0053161D"/>
    <w:rsid w:val="005323D7"/>
    <w:rsid w:val="00533059"/>
    <w:rsid w:val="005346A6"/>
    <w:rsid w:val="00542638"/>
    <w:rsid w:val="0054671A"/>
    <w:rsid w:val="00546AB0"/>
    <w:rsid w:val="00557E3A"/>
    <w:rsid w:val="00557E8B"/>
    <w:rsid w:val="00560A21"/>
    <w:rsid w:val="00562664"/>
    <w:rsid w:val="00565061"/>
    <w:rsid w:val="00566F0F"/>
    <w:rsid w:val="00567F9E"/>
    <w:rsid w:val="00570D8D"/>
    <w:rsid w:val="00572DA8"/>
    <w:rsid w:val="0057307B"/>
    <w:rsid w:val="00575538"/>
    <w:rsid w:val="00581C1A"/>
    <w:rsid w:val="00590249"/>
    <w:rsid w:val="005907D2"/>
    <w:rsid w:val="005973DE"/>
    <w:rsid w:val="005A0677"/>
    <w:rsid w:val="005A7F8A"/>
    <w:rsid w:val="005B6F2B"/>
    <w:rsid w:val="005C1CCF"/>
    <w:rsid w:val="005C7DA5"/>
    <w:rsid w:val="005D0860"/>
    <w:rsid w:val="005D0D33"/>
    <w:rsid w:val="005D5E4D"/>
    <w:rsid w:val="005D7F27"/>
    <w:rsid w:val="005E523F"/>
    <w:rsid w:val="005F3285"/>
    <w:rsid w:val="005F39A8"/>
    <w:rsid w:val="005F741A"/>
    <w:rsid w:val="00603ABA"/>
    <w:rsid w:val="006040AB"/>
    <w:rsid w:val="00604767"/>
    <w:rsid w:val="00611A39"/>
    <w:rsid w:val="006164EE"/>
    <w:rsid w:val="006206FF"/>
    <w:rsid w:val="00620C77"/>
    <w:rsid w:val="00621F4A"/>
    <w:rsid w:val="00626660"/>
    <w:rsid w:val="006270CF"/>
    <w:rsid w:val="006305D2"/>
    <w:rsid w:val="00633312"/>
    <w:rsid w:val="00633D3B"/>
    <w:rsid w:val="00634378"/>
    <w:rsid w:val="006355AB"/>
    <w:rsid w:val="00636854"/>
    <w:rsid w:val="00652AEA"/>
    <w:rsid w:val="00653308"/>
    <w:rsid w:val="00655081"/>
    <w:rsid w:val="006556B6"/>
    <w:rsid w:val="0065746A"/>
    <w:rsid w:val="00657859"/>
    <w:rsid w:val="006647CD"/>
    <w:rsid w:val="00664A6B"/>
    <w:rsid w:val="00667566"/>
    <w:rsid w:val="00671982"/>
    <w:rsid w:val="00677748"/>
    <w:rsid w:val="006940C9"/>
    <w:rsid w:val="00695DF5"/>
    <w:rsid w:val="006A1160"/>
    <w:rsid w:val="006A20A7"/>
    <w:rsid w:val="006A28BB"/>
    <w:rsid w:val="006A2E99"/>
    <w:rsid w:val="006B227E"/>
    <w:rsid w:val="006B6AF6"/>
    <w:rsid w:val="006D3166"/>
    <w:rsid w:val="006D4D95"/>
    <w:rsid w:val="006D6208"/>
    <w:rsid w:val="006E305B"/>
    <w:rsid w:val="006E6EFF"/>
    <w:rsid w:val="006E7151"/>
    <w:rsid w:val="006F3D7F"/>
    <w:rsid w:val="0070652B"/>
    <w:rsid w:val="007076BE"/>
    <w:rsid w:val="007134E1"/>
    <w:rsid w:val="00715250"/>
    <w:rsid w:val="007166F6"/>
    <w:rsid w:val="00723D02"/>
    <w:rsid w:val="00725282"/>
    <w:rsid w:val="0072599E"/>
    <w:rsid w:val="00731FF3"/>
    <w:rsid w:val="007328E5"/>
    <w:rsid w:val="00743A03"/>
    <w:rsid w:val="007479DF"/>
    <w:rsid w:val="00751591"/>
    <w:rsid w:val="0075516E"/>
    <w:rsid w:val="00764BEA"/>
    <w:rsid w:val="00770745"/>
    <w:rsid w:val="007722C6"/>
    <w:rsid w:val="0077529A"/>
    <w:rsid w:val="00777B3D"/>
    <w:rsid w:val="00780C66"/>
    <w:rsid w:val="00781281"/>
    <w:rsid w:val="007842F7"/>
    <w:rsid w:val="00792AE1"/>
    <w:rsid w:val="007959C0"/>
    <w:rsid w:val="00795BC0"/>
    <w:rsid w:val="007976EA"/>
    <w:rsid w:val="007A0B99"/>
    <w:rsid w:val="007B41C6"/>
    <w:rsid w:val="007C5676"/>
    <w:rsid w:val="007C5D39"/>
    <w:rsid w:val="007C769C"/>
    <w:rsid w:val="007D0049"/>
    <w:rsid w:val="007D44D8"/>
    <w:rsid w:val="007D6485"/>
    <w:rsid w:val="007E0AA9"/>
    <w:rsid w:val="007E0C87"/>
    <w:rsid w:val="007E14CF"/>
    <w:rsid w:val="007E1AF6"/>
    <w:rsid w:val="007F0DBA"/>
    <w:rsid w:val="007F330E"/>
    <w:rsid w:val="007F7989"/>
    <w:rsid w:val="00815EEC"/>
    <w:rsid w:val="00830865"/>
    <w:rsid w:val="00834CF4"/>
    <w:rsid w:val="00837A84"/>
    <w:rsid w:val="00840806"/>
    <w:rsid w:val="00846EF0"/>
    <w:rsid w:val="0084744E"/>
    <w:rsid w:val="008474D2"/>
    <w:rsid w:val="00847DAF"/>
    <w:rsid w:val="00847E9B"/>
    <w:rsid w:val="008516CA"/>
    <w:rsid w:val="00853C1A"/>
    <w:rsid w:val="00854FF4"/>
    <w:rsid w:val="0086508E"/>
    <w:rsid w:val="00867040"/>
    <w:rsid w:val="00871FAC"/>
    <w:rsid w:val="00872A74"/>
    <w:rsid w:val="00872E60"/>
    <w:rsid w:val="008746B8"/>
    <w:rsid w:val="00880444"/>
    <w:rsid w:val="00880B77"/>
    <w:rsid w:val="008819C5"/>
    <w:rsid w:val="00881C7F"/>
    <w:rsid w:val="00884BB2"/>
    <w:rsid w:val="00890740"/>
    <w:rsid w:val="008A0E20"/>
    <w:rsid w:val="008A1F1D"/>
    <w:rsid w:val="008A5E60"/>
    <w:rsid w:val="008A5E7B"/>
    <w:rsid w:val="008A6687"/>
    <w:rsid w:val="008C266B"/>
    <w:rsid w:val="008C305C"/>
    <w:rsid w:val="008E1C1C"/>
    <w:rsid w:val="008E24F6"/>
    <w:rsid w:val="008E2793"/>
    <w:rsid w:val="008E2B3E"/>
    <w:rsid w:val="008E5AE4"/>
    <w:rsid w:val="008E7773"/>
    <w:rsid w:val="008F6F58"/>
    <w:rsid w:val="00902CCE"/>
    <w:rsid w:val="009054A4"/>
    <w:rsid w:val="0090606B"/>
    <w:rsid w:val="00907F33"/>
    <w:rsid w:val="0091279E"/>
    <w:rsid w:val="0091526A"/>
    <w:rsid w:val="00916CE6"/>
    <w:rsid w:val="00917223"/>
    <w:rsid w:val="009173BB"/>
    <w:rsid w:val="0092274A"/>
    <w:rsid w:val="00923692"/>
    <w:rsid w:val="00923D3D"/>
    <w:rsid w:val="009308D0"/>
    <w:rsid w:val="00930CC9"/>
    <w:rsid w:val="009325C3"/>
    <w:rsid w:val="00932DB8"/>
    <w:rsid w:val="00933D90"/>
    <w:rsid w:val="009352D2"/>
    <w:rsid w:val="00943C17"/>
    <w:rsid w:val="00950EF1"/>
    <w:rsid w:val="009512F9"/>
    <w:rsid w:val="00951A5D"/>
    <w:rsid w:val="00955BC5"/>
    <w:rsid w:val="00961192"/>
    <w:rsid w:val="009664CB"/>
    <w:rsid w:val="00970DA6"/>
    <w:rsid w:val="0097446E"/>
    <w:rsid w:val="00984E4B"/>
    <w:rsid w:val="00985C5E"/>
    <w:rsid w:val="00986EBC"/>
    <w:rsid w:val="009A3C1C"/>
    <w:rsid w:val="009A4855"/>
    <w:rsid w:val="009A6601"/>
    <w:rsid w:val="009B4595"/>
    <w:rsid w:val="009C3AAF"/>
    <w:rsid w:val="009D24DB"/>
    <w:rsid w:val="009E305B"/>
    <w:rsid w:val="009E6609"/>
    <w:rsid w:val="009E7DB0"/>
    <w:rsid w:val="009F058E"/>
    <w:rsid w:val="009F0F68"/>
    <w:rsid w:val="009F5338"/>
    <w:rsid w:val="009F7B7E"/>
    <w:rsid w:val="00A0394E"/>
    <w:rsid w:val="00A03969"/>
    <w:rsid w:val="00A05AF4"/>
    <w:rsid w:val="00A123E8"/>
    <w:rsid w:val="00A130B4"/>
    <w:rsid w:val="00A23498"/>
    <w:rsid w:val="00A23D56"/>
    <w:rsid w:val="00A24875"/>
    <w:rsid w:val="00A2756A"/>
    <w:rsid w:val="00A30A7F"/>
    <w:rsid w:val="00A34062"/>
    <w:rsid w:val="00A406A8"/>
    <w:rsid w:val="00A42E61"/>
    <w:rsid w:val="00A52946"/>
    <w:rsid w:val="00A54CBA"/>
    <w:rsid w:val="00A56CE2"/>
    <w:rsid w:val="00A60920"/>
    <w:rsid w:val="00A709F3"/>
    <w:rsid w:val="00A8137A"/>
    <w:rsid w:val="00A8745A"/>
    <w:rsid w:val="00A95754"/>
    <w:rsid w:val="00A962E8"/>
    <w:rsid w:val="00AA231F"/>
    <w:rsid w:val="00AB09E4"/>
    <w:rsid w:val="00AB48C5"/>
    <w:rsid w:val="00AB4D06"/>
    <w:rsid w:val="00AB5981"/>
    <w:rsid w:val="00AB5F0B"/>
    <w:rsid w:val="00AB656C"/>
    <w:rsid w:val="00AB788F"/>
    <w:rsid w:val="00AD2C84"/>
    <w:rsid w:val="00AD30E4"/>
    <w:rsid w:val="00AD3173"/>
    <w:rsid w:val="00AD352C"/>
    <w:rsid w:val="00AD5E8A"/>
    <w:rsid w:val="00AE36B7"/>
    <w:rsid w:val="00AE4FBD"/>
    <w:rsid w:val="00AF27A3"/>
    <w:rsid w:val="00AF371C"/>
    <w:rsid w:val="00AF7B2A"/>
    <w:rsid w:val="00B010F0"/>
    <w:rsid w:val="00B02053"/>
    <w:rsid w:val="00B0309A"/>
    <w:rsid w:val="00B0488A"/>
    <w:rsid w:val="00B11F91"/>
    <w:rsid w:val="00B1209F"/>
    <w:rsid w:val="00B206A3"/>
    <w:rsid w:val="00B206C0"/>
    <w:rsid w:val="00B20B7A"/>
    <w:rsid w:val="00B3453E"/>
    <w:rsid w:val="00B35C2A"/>
    <w:rsid w:val="00B35FDF"/>
    <w:rsid w:val="00B36FB1"/>
    <w:rsid w:val="00B416A8"/>
    <w:rsid w:val="00B47FA3"/>
    <w:rsid w:val="00B516E7"/>
    <w:rsid w:val="00B55895"/>
    <w:rsid w:val="00B57538"/>
    <w:rsid w:val="00B638C9"/>
    <w:rsid w:val="00B6503E"/>
    <w:rsid w:val="00B66209"/>
    <w:rsid w:val="00B67DCD"/>
    <w:rsid w:val="00B720A3"/>
    <w:rsid w:val="00B74203"/>
    <w:rsid w:val="00B747EB"/>
    <w:rsid w:val="00B7482E"/>
    <w:rsid w:val="00B7514A"/>
    <w:rsid w:val="00B758CA"/>
    <w:rsid w:val="00B76099"/>
    <w:rsid w:val="00B86097"/>
    <w:rsid w:val="00B86C0A"/>
    <w:rsid w:val="00B86E32"/>
    <w:rsid w:val="00B92992"/>
    <w:rsid w:val="00BA624C"/>
    <w:rsid w:val="00BB2692"/>
    <w:rsid w:val="00BB5E2D"/>
    <w:rsid w:val="00BC016A"/>
    <w:rsid w:val="00BC5334"/>
    <w:rsid w:val="00BC64C4"/>
    <w:rsid w:val="00BD0D65"/>
    <w:rsid w:val="00BE69D8"/>
    <w:rsid w:val="00BF658B"/>
    <w:rsid w:val="00C00BEB"/>
    <w:rsid w:val="00C02150"/>
    <w:rsid w:val="00C078E2"/>
    <w:rsid w:val="00C10576"/>
    <w:rsid w:val="00C201F3"/>
    <w:rsid w:val="00C234EA"/>
    <w:rsid w:val="00C305EB"/>
    <w:rsid w:val="00C3087E"/>
    <w:rsid w:val="00C35A4E"/>
    <w:rsid w:val="00C373C4"/>
    <w:rsid w:val="00C5528A"/>
    <w:rsid w:val="00C56112"/>
    <w:rsid w:val="00C63598"/>
    <w:rsid w:val="00C668D2"/>
    <w:rsid w:val="00C72DEE"/>
    <w:rsid w:val="00C74DE0"/>
    <w:rsid w:val="00C90697"/>
    <w:rsid w:val="00C93938"/>
    <w:rsid w:val="00C93B05"/>
    <w:rsid w:val="00C9478B"/>
    <w:rsid w:val="00C94F9E"/>
    <w:rsid w:val="00CA0B36"/>
    <w:rsid w:val="00CC39B3"/>
    <w:rsid w:val="00CC456F"/>
    <w:rsid w:val="00CC5E28"/>
    <w:rsid w:val="00CC6282"/>
    <w:rsid w:val="00CD0EB5"/>
    <w:rsid w:val="00CD11E3"/>
    <w:rsid w:val="00CF1602"/>
    <w:rsid w:val="00D01522"/>
    <w:rsid w:val="00D02160"/>
    <w:rsid w:val="00D052F5"/>
    <w:rsid w:val="00D07155"/>
    <w:rsid w:val="00D13403"/>
    <w:rsid w:val="00D13599"/>
    <w:rsid w:val="00D15AEE"/>
    <w:rsid w:val="00D23CC3"/>
    <w:rsid w:val="00D2414A"/>
    <w:rsid w:val="00D30D7F"/>
    <w:rsid w:val="00D42DF5"/>
    <w:rsid w:val="00D454A8"/>
    <w:rsid w:val="00D524C5"/>
    <w:rsid w:val="00D53BDA"/>
    <w:rsid w:val="00D546E3"/>
    <w:rsid w:val="00D57936"/>
    <w:rsid w:val="00D57D62"/>
    <w:rsid w:val="00D6669F"/>
    <w:rsid w:val="00D706D4"/>
    <w:rsid w:val="00D7146F"/>
    <w:rsid w:val="00D71F42"/>
    <w:rsid w:val="00D7495D"/>
    <w:rsid w:val="00D76663"/>
    <w:rsid w:val="00D81267"/>
    <w:rsid w:val="00D92343"/>
    <w:rsid w:val="00D94D72"/>
    <w:rsid w:val="00D96A81"/>
    <w:rsid w:val="00DA4F7F"/>
    <w:rsid w:val="00DB1C51"/>
    <w:rsid w:val="00DB2259"/>
    <w:rsid w:val="00DB56E4"/>
    <w:rsid w:val="00DB7B17"/>
    <w:rsid w:val="00DC5672"/>
    <w:rsid w:val="00DD0FE1"/>
    <w:rsid w:val="00DD1C65"/>
    <w:rsid w:val="00DE025A"/>
    <w:rsid w:val="00DE09B1"/>
    <w:rsid w:val="00DE2036"/>
    <w:rsid w:val="00DE3F9A"/>
    <w:rsid w:val="00DE51AD"/>
    <w:rsid w:val="00DF4F00"/>
    <w:rsid w:val="00DF718B"/>
    <w:rsid w:val="00DF7759"/>
    <w:rsid w:val="00E00DFD"/>
    <w:rsid w:val="00E0292A"/>
    <w:rsid w:val="00E04BA2"/>
    <w:rsid w:val="00E10EEA"/>
    <w:rsid w:val="00E151EC"/>
    <w:rsid w:val="00E15F2D"/>
    <w:rsid w:val="00E21734"/>
    <w:rsid w:val="00E25B05"/>
    <w:rsid w:val="00E33A32"/>
    <w:rsid w:val="00E35045"/>
    <w:rsid w:val="00E36619"/>
    <w:rsid w:val="00E3702E"/>
    <w:rsid w:val="00E43003"/>
    <w:rsid w:val="00E468E3"/>
    <w:rsid w:val="00E518E6"/>
    <w:rsid w:val="00E526EA"/>
    <w:rsid w:val="00E5447C"/>
    <w:rsid w:val="00E61E43"/>
    <w:rsid w:val="00E629F9"/>
    <w:rsid w:val="00E6430B"/>
    <w:rsid w:val="00E66C1B"/>
    <w:rsid w:val="00E66F51"/>
    <w:rsid w:val="00E70B51"/>
    <w:rsid w:val="00E86249"/>
    <w:rsid w:val="00EA0A3D"/>
    <w:rsid w:val="00EA374A"/>
    <w:rsid w:val="00EA6C37"/>
    <w:rsid w:val="00EA74D1"/>
    <w:rsid w:val="00EC2EFD"/>
    <w:rsid w:val="00EC7529"/>
    <w:rsid w:val="00EC7CE5"/>
    <w:rsid w:val="00ED43F1"/>
    <w:rsid w:val="00ED63F6"/>
    <w:rsid w:val="00EE08D8"/>
    <w:rsid w:val="00EE136A"/>
    <w:rsid w:val="00EE2E4A"/>
    <w:rsid w:val="00EF56CC"/>
    <w:rsid w:val="00EF7BDB"/>
    <w:rsid w:val="00F006E4"/>
    <w:rsid w:val="00F0404B"/>
    <w:rsid w:val="00F040F3"/>
    <w:rsid w:val="00F065B4"/>
    <w:rsid w:val="00F11619"/>
    <w:rsid w:val="00F1782A"/>
    <w:rsid w:val="00F2282F"/>
    <w:rsid w:val="00F24B81"/>
    <w:rsid w:val="00F32D61"/>
    <w:rsid w:val="00F33255"/>
    <w:rsid w:val="00F35696"/>
    <w:rsid w:val="00F41E8D"/>
    <w:rsid w:val="00F420C9"/>
    <w:rsid w:val="00F535D4"/>
    <w:rsid w:val="00F56BB7"/>
    <w:rsid w:val="00F6395B"/>
    <w:rsid w:val="00F63C3C"/>
    <w:rsid w:val="00F6420A"/>
    <w:rsid w:val="00F671CD"/>
    <w:rsid w:val="00F707DD"/>
    <w:rsid w:val="00F7247A"/>
    <w:rsid w:val="00F7343C"/>
    <w:rsid w:val="00F80B6C"/>
    <w:rsid w:val="00F81B84"/>
    <w:rsid w:val="00F838C3"/>
    <w:rsid w:val="00F8647F"/>
    <w:rsid w:val="00F91489"/>
    <w:rsid w:val="00FA03D4"/>
    <w:rsid w:val="00FA45BC"/>
    <w:rsid w:val="00FA6E8D"/>
    <w:rsid w:val="00FA7541"/>
    <w:rsid w:val="00FB0652"/>
    <w:rsid w:val="00FB52D2"/>
    <w:rsid w:val="00FB597E"/>
    <w:rsid w:val="00FB5F93"/>
    <w:rsid w:val="00FC4009"/>
    <w:rsid w:val="00FD437B"/>
    <w:rsid w:val="00FF0B4B"/>
    <w:rsid w:val="00FF224B"/>
    <w:rsid w:val="00FF4B31"/>
    <w:rsid w:val="00FF5310"/>
    <w:rsid w:val="00FF53DB"/>
    <w:rsid w:val="00FF6658"/>
    <w:rsid w:val="0114D44D"/>
    <w:rsid w:val="015F64B7"/>
    <w:rsid w:val="02769773"/>
    <w:rsid w:val="078FA4A5"/>
    <w:rsid w:val="0F435A4D"/>
    <w:rsid w:val="12D52986"/>
    <w:rsid w:val="180AE4D0"/>
    <w:rsid w:val="1D8CC427"/>
    <w:rsid w:val="1DB08942"/>
    <w:rsid w:val="1EF7C603"/>
    <w:rsid w:val="266EBDDE"/>
    <w:rsid w:val="2756E7A7"/>
    <w:rsid w:val="27B2D2DC"/>
    <w:rsid w:val="28CE0081"/>
    <w:rsid w:val="29C19817"/>
    <w:rsid w:val="2A2C61D7"/>
    <w:rsid w:val="2C512220"/>
    <w:rsid w:val="2E1C0A94"/>
    <w:rsid w:val="2F1E0101"/>
    <w:rsid w:val="2F84887C"/>
    <w:rsid w:val="2FA5C18B"/>
    <w:rsid w:val="30B6D413"/>
    <w:rsid w:val="3303445E"/>
    <w:rsid w:val="343EED32"/>
    <w:rsid w:val="36F5E64B"/>
    <w:rsid w:val="38B55FC7"/>
    <w:rsid w:val="38B87237"/>
    <w:rsid w:val="38DEFA47"/>
    <w:rsid w:val="39F63C90"/>
    <w:rsid w:val="3AAA1789"/>
    <w:rsid w:val="3FEDE31C"/>
    <w:rsid w:val="42B4191C"/>
    <w:rsid w:val="42B6115A"/>
    <w:rsid w:val="44963ED7"/>
    <w:rsid w:val="455B0D6A"/>
    <w:rsid w:val="45D9A9C9"/>
    <w:rsid w:val="46F6DDCB"/>
    <w:rsid w:val="48E3FC3B"/>
    <w:rsid w:val="4BAB5F90"/>
    <w:rsid w:val="4D472FF1"/>
    <w:rsid w:val="5626B4E5"/>
    <w:rsid w:val="5DE13074"/>
    <w:rsid w:val="5E2291F6"/>
    <w:rsid w:val="624FF481"/>
    <w:rsid w:val="686A2036"/>
    <w:rsid w:val="6941C953"/>
    <w:rsid w:val="6A878C48"/>
    <w:rsid w:val="70574461"/>
    <w:rsid w:val="79EEBFB4"/>
    <w:rsid w:val="7D68B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BBE652"/>
  <w15:chartTrackingRefBased/>
  <w15:docId w15:val="{24982650-3C96-4577-BD4D-C77A902F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00"/>
  </w:style>
  <w:style w:type="paragraph" w:styleId="Heading1">
    <w:name w:val="heading 1"/>
    <w:basedOn w:val="Normal"/>
    <w:link w:val="Heading1Char"/>
    <w:uiPriority w:val="9"/>
    <w:qFormat/>
    <w:rsid w:val="00751591"/>
    <w:pPr>
      <w:widowControl w:val="0"/>
      <w:autoSpaceDE w:val="0"/>
      <w:autoSpaceDN w:val="0"/>
      <w:spacing w:before="88" w:after="0" w:line="240" w:lineRule="auto"/>
      <w:ind w:left="244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-text">
    <w:name w:val="lead-text"/>
    <w:basedOn w:val="Normal"/>
    <w:rsid w:val="002A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20"/>
  </w:style>
  <w:style w:type="paragraph" w:styleId="Footer">
    <w:name w:val="footer"/>
    <w:basedOn w:val="Normal"/>
    <w:link w:val="FooterChar"/>
    <w:uiPriority w:val="99"/>
    <w:unhideWhenUsed/>
    <w:rsid w:val="008A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20"/>
  </w:style>
  <w:style w:type="paragraph" w:styleId="BalloonText">
    <w:name w:val="Balloon Text"/>
    <w:basedOn w:val="Normal"/>
    <w:link w:val="BalloonTextChar"/>
    <w:uiPriority w:val="99"/>
    <w:semiHidden/>
    <w:unhideWhenUsed/>
    <w:rsid w:val="0054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7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D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1591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5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F8647F"/>
  </w:style>
  <w:style w:type="character" w:styleId="Hyperlink">
    <w:name w:val="Hyperlink"/>
    <w:basedOn w:val="DefaultParagraphFont"/>
    <w:uiPriority w:val="99"/>
    <w:unhideWhenUsed/>
    <w:rsid w:val="00F8647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F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F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F9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B5F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3CC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E3F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F9A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F0D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3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706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864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4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ventionweb.net/publication/early-warnings-all-executive-action-plan-2023-2027" TargetMode="External"/><Relationship Id="rId1" Type="http://schemas.openxmlformats.org/officeDocument/2006/relationships/hyperlink" Target="https://gca.org/reports/adapt-now-a-global-call-for-leadership-on-climate-resil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15A2D3AAA4EADDD28F84A6B833E" ma:contentTypeVersion="13" ma:contentTypeDescription="Create a new document." ma:contentTypeScope="" ma:versionID="fe0ec7845ad158e6f4f6ddfe81b9c467">
  <xsd:schema xmlns:xsd="http://www.w3.org/2001/XMLSchema" xmlns:xs="http://www.w3.org/2001/XMLSchema" xmlns:p="http://schemas.microsoft.com/office/2006/metadata/properties" xmlns:ns2="ff216948-1be2-463a-bbf1-364bfaded1fe" xmlns:ns3="6a82d4b0-c4fa-4fff-8f4a-3b1b59640f76" targetNamespace="http://schemas.microsoft.com/office/2006/metadata/properties" ma:root="true" ma:fieldsID="dcd9b6449891cb9c154ba995fac89961" ns2:_="" ns3:_="">
    <xsd:import namespace="ff216948-1be2-463a-bbf1-364bfaded1fe"/>
    <xsd:import namespace="6a82d4b0-c4fa-4fff-8f4a-3b1b5964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948-1be2-463a-bbf1-364bfade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2d4b0-c4fa-4fff-8f4a-3b1b59640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12852-b47a-48ec-bf91-c3a12e6f5ac4}" ma:internalName="TaxCatchAll" ma:showField="CatchAllData" ma:web="6a82d4b0-c4fa-4fff-8f4a-3b1b5964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2d4b0-c4fa-4fff-8f4a-3b1b59640f76" xsi:nil="true"/>
    <lcf76f155ced4ddcb4097134ff3c332f xmlns="ff216948-1be2-463a-bbf1-364bfaded1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7CEAE-7894-FB40-8906-E93A940DE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16951-CC0C-4949-A223-D43A42F0CB3F}"/>
</file>

<file path=customXml/itemProps3.xml><?xml version="1.0" encoding="utf-8"?>
<ds:datastoreItem xmlns:ds="http://schemas.openxmlformats.org/officeDocument/2006/customXml" ds:itemID="{AA1F1553-910C-4E43-BE13-6C4676ED948D}">
  <ds:schemaRefs>
    <ds:schemaRef ds:uri="http://www.w3.org/XML/1998/namespace"/>
    <ds:schemaRef ds:uri="3679bf0f-1d7e-438f-afa5-6ebf1e20f9b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ce21bc6c-711a-4065-a01c-a8f0e29e3a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F2B063-419A-4785-92B6-4A4C240CF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Chimwemwe Msowoya</dc:creator>
  <cp:keywords/>
  <dc:description/>
  <cp:lastModifiedBy>Frédérique JULLIARD</cp:lastModifiedBy>
  <cp:revision>103</cp:revision>
  <cp:lastPrinted>2023-06-22T08:17:00Z</cp:lastPrinted>
  <dcterms:created xsi:type="dcterms:W3CDTF">2023-06-20T12:21:00Z</dcterms:created>
  <dcterms:modified xsi:type="dcterms:W3CDTF">2023-06-22T09:17:00Z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0x010100AFCD215A2D3AAA4EADDD28F84A6B833E</vt:lpwstr>
  </property>
  <property fmtid="{D5CDD505-2E9C-101B-9397-08002B2CF9AE}" pid="3" name="MediaServiceImageTags">
    <vt:lpwstr/>
  </property>
</Properties>
</file>