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2ECB" w:rsidR="008C02B5" w:rsidP="6A1895D9" w:rsidRDefault="00DE2ECB" w14:paraId="0F294A15" w14:textId="576A0EEF">
      <w:pPr>
        <w:pStyle w:val="Date"/>
        <w:jc w:val="center"/>
        <w:rPr>
          <w:rFonts w:ascii="Tahoma" w:hAnsi="Tahoma" w:eastAsia="黑体" w:asciiTheme="majorAscii" w:hAnsiTheme="majorAscii" w:eastAsiaTheme="minorEastAsia"/>
          <w:sz w:val="40"/>
          <w:szCs w:val="40"/>
        </w:rPr>
      </w:pPr>
      <w:r w:rsidRPr="6A1895D9" w:rsidR="00DE2ECB">
        <w:rPr>
          <w:rFonts w:ascii="Tahoma" w:hAnsi="Tahoma" w:eastAsia="黑体" w:asciiTheme="majorAscii" w:hAnsiTheme="majorAscii" w:eastAsiaTheme="minorEastAsia"/>
          <w:sz w:val="40"/>
          <w:szCs w:val="40"/>
        </w:rPr>
        <w:t xml:space="preserve">Scaling up </w:t>
      </w:r>
      <w:r w:rsidRPr="6A1895D9" w:rsidR="003167C5">
        <w:rPr>
          <w:rFonts w:ascii="Tahoma" w:hAnsi="Tahoma" w:eastAsia="黑体" w:asciiTheme="majorAscii" w:hAnsiTheme="majorAscii" w:eastAsiaTheme="minorEastAsia"/>
          <w:sz w:val="40"/>
          <w:szCs w:val="40"/>
        </w:rPr>
        <w:t>Early Warning Systems</w:t>
      </w:r>
      <w:r w:rsidRPr="6A1895D9" w:rsidR="00DE2ECB">
        <w:rPr>
          <w:rFonts w:ascii="Tahoma" w:hAnsi="Tahoma" w:eastAsia="黑体" w:asciiTheme="majorAscii" w:hAnsiTheme="majorAscii" w:eastAsiaTheme="minorEastAsia"/>
          <w:sz w:val="40"/>
          <w:szCs w:val="40"/>
        </w:rPr>
        <w:t xml:space="preserve"> – </w:t>
      </w:r>
      <w:r w:rsidRPr="6A1895D9" w:rsidR="6FFCED60">
        <w:rPr>
          <w:rFonts w:ascii="Tahoma" w:hAnsi="Tahoma" w:eastAsia="黑体" w:asciiTheme="majorAscii" w:hAnsiTheme="majorAscii" w:eastAsiaTheme="minorEastAsia"/>
          <w:sz w:val="40"/>
          <w:szCs w:val="40"/>
        </w:rPr>
        <w:t>Implementation</w:t>
      </w:r>
      <w:r w:rsidRPr="6A1895D9" w:rsidR="00C83731">
        <w:rPr>
          <w:rFonts w:ascii="Tahoma" w:hAnsi="Tahoma" w:eastAsia="黑体" w:asciiTheme="majorAscii" w:hAnsiTheme="majorAscii" w:eastAsiaTheme="minorEastAsia"/>
          <w:sz w:val="40"/>
          <w:szCs w:val="40"/>
        </w:rPr>
        <w:t xml:space="preserve"> </w:t>
      </w:r>
      <w:r w:rsidRPr="6A1895D9" w:rsidR="00DE2ECB">
        <w:rPr>
          <w:rFonts w:ascii="Tahoma" w:hAnsi="Tahoma" w:eastAsia="黑体" w:asciiTheme="majorAscii" w:hAnsiTheme="majorAscii" w:eastAsiaTheme="minorEastAsia"/>
          <w:sz w:val="40"/>
          <w:szCs w:val="40"/>
        </w:rPr>
        <w:t>Roadmap</w:t>
      </w:r>
    </w:p>
    <w:p w:rsidRPr="00740851" w:rsidR="00FF0A65" w:rsidP="003167C5" w:rsidRDefault="00DE2ECB" w14:paraId="599E393E" w14:textId="51014829">
      <w:pPr>
        <w:pStyle w:val="Heading2"/>
        <w:jc w:val="center"/>
        <w:rPr>
          <w:rFonts w:asciiTheme="minorHAnsi" w:hAnsiTheme="minorHAnsi" w:eastAsiaTheme="minorHAnsi" w:cstheme="minorBidi"/>
          <w:b w:val="0"/>
          <w:bCs/>
          <w:color w:val="17406D" w:themeColor="text2"/>
          <w:sz w:val="28"/>
          <w:szCs w:val="22"/>
        </w:rPr>
      </w:pPr>
      <w:r>
        <w:rPr>
          <w:rFonts w:asciiTheme="minorHAnsi" w:hAnsiTheme="minorHAnsi" w:eastAsiaTheme="minorHAnsi" w:cstheme="minorBidi"/>
          <w:b w:val="0"/>
          <w:bCs/>
          <w:color w:val="17406D" w:themeColor="text2"/>
          <w:sz w:val="28"/>
          <w:szCs w:val="22"/>
        </w:rPr>
        <w:t>[NAME of Country, timeline of roadmap]</w:t>
      </w:r>
    </w:p>
    <w:p w:rsidRPr="00D31DE1" w:rsidR="00D31DE1" w:rsidP="00D31DE1" w:rsidRDefault="00D31DE1" w14:paraId="18EB0F90" w14:textId="77777777"/>
    <w:p w:rsidR="00D1084A" w:rsidP="00B96D6D" w:rsidRDefault="003167C5" w14:paraId="64614087" w14:textId="6C8B65F8">
      <w:pPr>
        <w:pStyle w:val="Heading2"/>
        <w:numPr>
          <w:ilvl w:val="0"/>
          <w:numId w:val="20"/>
        </w:numPr>
        <w:rPr>
          <w:color w:val="0041A1"/>
          <w:sz w:val="28"/>
          <w:szCs w:val="28"/>
        </w:rPr>
      </w:pPr>
      <w:r>
        <w:rPr>
          <w:color w:val="0041A1"/>
          <w:sz w:val="28"/>
          <w:szCs w:val="28"/>
        </w:rPr>
        <w:t>Background</w:t>
      </w:r>
    </w:p>
    <w:p w:rsidRPr="003167C5" w:rsidR="003167C5" w:rsidP="003167C5" w:rsidRDefault="003167C5" w14:paraId="2BC300E2" w14:textId="751A4D03">
      <w:pPr>
        <w:jc w:val="both"/>
        <w:rPr>
          <w:sz w:val="24"/>
          <w:szCs w:val="24"/>
        </w:rPr>
      </w:pPr>
      <w:r w:rsidRPr="003167C5">
        <w:rPr>
          <w:sz w:val="24"/>
          <w:szCs w:val="24"/>
        </w:rPr>
        <w:t>The Sustainable Development Goals and the Sendai Framework for Disaster Risk Reduction 2015-2030 identify strengthened early warning systems as a critical component of building the resilience to disasters and crises and, by extension, contributing to sustainable development.</w:t>
      </w:r>
    </w:p>
    <w:p w:rsidR="00293D0F" w:rsidP="003167C5" w:rsidRDefault="003167C5" w14:paraId="2BE2F658" w14:textId="77777777">
      <w:pPr>
        <w:jc w:val="both"/>
        <w:rPr>
          <w:sz w:val="24"/>
          <w:szCs w:val="24"/>
        </w:rPr>
      </w:pPr>
      <w:r w:rsidRPr="003167C5">
        <w:rPr>
          <w:sz w:val="24"/>
          <w:szCs w:val="24"/>
        </w:rPr>
        <w:t xml:space="preserve">Early warning systems (EWS) are key elements of disaster risk reduction and climate change adaptation, as they help reduce or avoid the detrimental impacts of hazardous events. To be effective, early warning systems need to be risk-informed, target communities most at risk, disseminate messages and warnings efficiently, ensure preparedness and support early action. Early warning systems must rely on a sound scientific and technical basis and focus on the most vulnerable people and sectors. This implies the adoption of a system-based approach incorporating all relevant risk factors, whether arising from the climate-hazards or social vulnerabilities, and from short-term or long-term processes. </w:t>
      </w:r>
    </w:p>
    <w:p w:rsidRPr="003167C5" w:rsidR="003167C5" w:rsidP="003167C5" w:rsidRDefault="003167C5" w14:paraId="3ABF6922" w14:textId="036416B6">
      <w:pPr>
        <w:jc w:val="both"/>
        <w:rPr>
          <w:sz w:val="24"/>
          <w:szCs w:val="24"/>
        </w:rPr>
      </w:pPr>
      <w:r w:rsidRPr="003167C5">
        <w:rPr>
          <w:sz w:val="24"/>
          <w:szCs w:val="24"/>
        </w:rPr>
        <w:t xml:space="preserve">Early warning systems include four pillars: 1) </w:t>
      </w:r>
      <w:r w:rsidR="00C83731">
        <w:rPr>
          <w:sz w:val="24"/>
          <w:szCs w:val="24"/>
        </w:rPr>
        <w:t xml:space="preserve">disaster </w:t>
      </w:r>
      <w:r w:rsidRPr="003167C5">
        <w:rPr>
          <w:sz w:val="24"/>
          <w:szCs w:val="24"/>
        </w:rPr>
        <w:t>risk knowledge, 2) observation, monitoring, analysis, and forecasting, 3) warning dissemination and communication and 4) preparedness and response capabilities.</w:t>
      </w:r>
    </w:p>
    <w:p w:rsidRPr="003167C5" w:rsidR="003167C5" w:rsidP="003167C5" w:rsidRDefault="003167C5" w14:paraId="60651AB7" w14:textId="75FA0176">
      <w:pPr>
        <w:jc w:val="both"/>
        <w:rPr>
          <w:sz w:val="24"/>
          <w:szCs w:val="24"/>
        </w:rPr>
      </w:pPr>
      <w:r w:rsidRPr="003167C5">
        <w:rPr>
          <w:sz w:val="24"/>
          <w:szCs w:val="24"/>
        </w:rPr>
        <w:t>Multi-sector and multi-stakeholder coordination, involvement of communities at risk, having an enabling institutional and legislative environment, clear roles and responsibilities, and adequate operational capacities, are essential for effective and consistent Early Warning Systems.</w:t>
      </w:r>
    </w:p>
    <w:p w:rsidRPr="00293D0F" w:rsidR="003167C5" w:rsidP="003167C5" w:rsidRDefault="003167C5" w14:paraId="2E5BF094" w14:textId="6CEBB710">
      <w:pPr>
        <w:jc w:val="both"/>
        <w:rPr>
          <w:sz w:val="24"/>
          <w:szCs w:val="24"/>
        </w:rPr>
      </w:pPr>
      <w:r w:rsidRPr="003167C5">
        <w:rPr>
          <w:sz w:val="24"/>
          <w:szCs w:val="24"/>
        </w:rPr>
        <w:lastRenderedPageBreak/>
        <w:t xml:space="preserve">Early Warnings for All (EW4All) is a special initiative of the UN Secretary General, which aims to spearheading action to ensure every person on Earth is protected by </w:t>
      </w:r>
      <w:r w:rsidRPr="00293D0F">
        <w:rPr>
          <w:sz w:val="24"/>
          <w:szCs w:val="24"/>
        </w:rPr>
        <w:t>early warning systems by 2027.</w:t>
      </w:r>
      <w:r w:rsidR="00C83731">
        <w:rPr>
          <w:sz w:val="24"/>
          <w:szCs w:val="24"/>
        </w:rPr>
        <w:t xml:space="preserve"> Under the umbrella of EW4All, [COUNTRY] aims to scale up prior efforts and strengthen national early warning systems.</w:t>
      </w:r>
    </w:p>
    <w:p w:rsidRPr="009D4E52" w:rsidR="00293D0F" w:rsidP="009D4E52" w:rsidRDefault="00293D0F" w14:paraId="4C6A38F2" w14:textId="57C0E6B9">
      <w:pPr>
        <w:rPr>
          <w:sz w:val="24"/>
          <w:szCs w:val="24"/>
        </w:rPr>
      </w:pPr>
      <w:r w:rsidRPr="00180247">
        <w:rPr>
          <w:sz w:val="24"/>
          <w:szCs w:val="24"/>
        </w:rPr>
        <w:t>[</w:t>
      </w:r>
      <w:r w:rsidRPr="00180247">
        <w:rPr>
          <w:i/>
          <w:iCs/>
          <w:sz w:val="24"/>
          <w:szCs w:val="24"/>
        </w:rPr>
        <w:t>PLACEHOLDER for national context and background: regulations on early warning systems, existing EWS frameworks and gaps</w:t>
      </w:r>
      <w:r w:rsidRPr="00180247">
        <w:rPr>
          <w:sz w:val="24"/>
          <w:szCs w:val="24"/>
        </w:rPr>
        <w:t>]</w:t>
      </w:r>
    </w:p>
    <w:p w:rsidRPr="00293D0F" w:rsidR="00293D0F" w:rsidP="00B96D6D" w:rsidRDefault="00293D0F" w14:paraId="03C809BF" w14:textId="148D15FC">
      <w:pPr>
        <w:pStyle w:val="Heading2"/>
        <w:numPr>
          <w:ilvl w:val="0"/>
          <w:numId w:val="20"/>
        </w:numPr>
        <w:spacing w:before="0" w:after="0" w:line="240" w:lineRule="auto"/>
        <w:rPr>
          <w:color w:val="0041A1"/>
          <w:sz w:val="28"/>
          <w:szCs w:val="28"/>
        </w:rPr>
      </w:pPr>
      <w:r w:rsidRPr="00293D0F">
        <w:rPr>
          <w:color w:val="0041A1"/>
          <w:sz w:val="28"/>
          <w:szCs w:val="28"/>
        </w:rPr>
        <w:t>Purpose and objectives</w:t>
      </w:r>
    </w:p>
    <w:p w:rsidRPr="00293D0F" w:rsidR="00293D0F" w:rsidP="00293D0F" w:rsidRDefault="00293D0F" w14:paraId="79DC3578" w14:textId="77777777">
      <w:pPr>
        <w:spacing w:after="0" w:line="240" w:lineRule="auto"/>
        <w:jc w:val="both"/>
        <w:rPr>
          <w:rFonts w:cstheme="minorHAnsi"/>
          <w:sz w:val="24"/>
          <w:szCs w:val="24"/>
        </w:rPr>
      </w:pPr>
    </w:p>
    <w:p w:rsidR="0084460B" w:rsidP="007C6EE4" w:rsidRDefault="0084460B" w14:paraId="5972942D" w14:textId="7AE6A1D4">
      <w:pPr>
        <w:jc w:val="both"/>
        <w:rPr>
          <w:sz w:val="24"/>
          <w:szCs w:val="24"/>
        </w:rPr>
      </w:pPr>
      <w:r w:rsidRPr="0084460B">
        <w:rPr>
          <w:sz w:val="24"/>
          <w:szCs w:val="24"/>
        </w:rPr>
        <w:t xml:space="preserve">This EWS </w:t>
      </w:r>
      <w:r w:rsidR="00C83731">
        <w:rPr>
          <w:sz w:val="24"/>
          <w:szCs w:val="24"/>
        </w:rPr>
        <w:t xml:space="preserve">Implementation </w:t>
      </w:r>
      <w:r w:rsidRPr="0084460B">
        <w:rPr>
          <w:sz w:val="24"/>
          <w:szCs w:val="24"/>
        </w:rPr>
        <w:t>Roadmap [</w:t>
      </w:r>
      <w:r w:rsidRPr="0084460B" w:rsidR="00C83731">
        <w:rPr>
          <w:sz w:val="24"/>
          <w:szCs w:val="24"/>
        </w:rPr>
        <w:t>TIME PERIOD</w:t>
      </w:r>
      <w:r w:rsidRPr="0084460B">
        <w:rPr>
          <w:sz w:val="24"/>
          <w:szCs w:val="24"/>
        </w:rPr>
        <w:t>] serves as a strategic guide to drive initiatives spanning national to local levels, channel investments towards enhancing Early Warning Systems for more effective Disaster Risk Reduction (DRR), and facilitate the seamless integration of comprehensive early warning mechanisms. Organizations are encouraged to incorporate these actions into their operational frameworks, aligning with their primary and supportive responsibilities. This harmonization ensures the optimal utilization of resources across the spectrum from national to local levels.</w:t>
      </w:r>
    </w:p>
    <w:p w:rsidR="00821A79" w:rsidP="00821A79" w:rsidRDefault="00821A79" w14:paraId="7FB74EA5" w14:textId="490B8AEC">
      <w:pPr>
        <w:jc w:val="both"/>
        <w:rPr>
          <w:sz w:val="24"/>
          <w:szCs w:val="24"/>
        </w:rPr>
      </w:pPr>
      <w:r w:rsidRPr="00821A79">
        <w:rPr>
          <w:sz w:val="24"/>
          <w:szCs w:val="24"/>
        </w:rPr>
        <w:t xml:space="preserve">The primary objective of this Roadmap is to </w:t>
      </w:r>
      <w:r w:rsidR="00C83731">
        <w:rPr>
          <w:sz w:val="24"/>
          <w:szCs w:val="24"/>
        </w:rPr>
        <w:t>provide the</w:t>
      </w:r>
      <w:r w:rsidRPr="00821A79">
        <w:rPr>
          <w:sz w:val="24"/>
          <w:szCs w:val="24"/>
        </w:rPr>
        <w:t xml:space="preserve"> national and local governments with a structured blueprint for fortifying a people-centric Early Warning System in </w:t>
      </w:r>
      <w:r>
        <w:rPr>
          <w:sz w:val="24"/>
          <w:szCs w:val="24"/>
        </w:rPr>
        <w:t>[COUNTRY NAME]</w:t>
      </w:r>
      <w:r w:rsidRPr="00821A79">
        <w:rPr>
          <w:sz w:val="24"/>
          <w:szCs w:val="24"/>
        </w:rPr>
        <w:t xml:space="preserve"> through targeted</w:t>
      </w:r>
      <w:r w:rsidR="00C83731">
        <w:rPr>
          <w:sz w:val="24"/>
          <w:szCs w:val="24"/>
        </w:rPr>
        <w:t xml:space="preserve"> actions and</w:t>
      </w:r>
      <w:r w:rsidRPr="00821A79">
        <w:rPr>
          <w:sz w:val="24"/>
          <w:szCs w:val="24"/>
        </w:rPr>
        <w:t xml:space="preserve"> resource allocation. This Roadmap stems from an extensive gap analysis of </w:t>
      </w:r>
      <w:r>
        <w:rPr>
          <w:sz w:val="24"/>
          <w:szCs w:val="24"/>
        </w:rPr>
        <w:t>[C</w:t>
      </w:r>
      <w:r w:rsidR="00C83731">
        <w:rPr>
          <w:sz w:val="24"/>
          <w:szCs w:val="24"/>
        </w:rPr>
        <w:t>OUNTRY</w:t>
      </w:r>
      <w:r>
        <w:rPr>
          <w:sz w:val="24"/>
          <w:szCs w:val="24"/>
        </w:rPr>
        <w:t>’s]</w:t>
      </w:r>
      <w:r w:rsidRPr="00821A79">
        <w:rPr>
          <w:sz w:val="24"/>
          <w:szCs w:val="24"/>
        </w:rPr>
        <w:t xml:space="preserve"> EWS, which included the application of a </w:t>
      </w:r>
      <w:r>
        <w:rPr>
          <w:sz w:val="24"/>
          <w:szCs w:val="24"/>
        </w:rPr>
        <w:t>Minimum Core Capability</w:t>
      </w:r>
      <w:r w:rsidRPr="00821A79">
        <w:rPr>
          <w:sz w:val="24"/>
          <w:szCs w:val="24"/>
        </w:rPr>
        <w:t xml:space="preserve"> Checklist </w:t>
      </w:r>
      <w:r>
        <w:rPr>
          <w:sz w:val="24"/>
          <w:szCs w:val="24"/>
        </w:rPr>
        <w:t>in the form of [workshop / survey</w:t>
      </w:r>
      <w:r w:rsidR="00C83731">
        <w:rPr>
          <w:sz w:val="24"/>
          <w:szCs w:val="24"/>
        </w:rPr>
        <w:t>s</w:t>
      </w:r>
      <w:r>
        <w:rPr>
          <w:sz w:val="24"/>
          <w:szCs w:val="24"/>
        </w:rPr>
        <w:t xml:space="preserve"> / stakeholder consultation</w:t>
      </w:r>
      <w:r w:rsidR="00C83731">
        <w:rPr>
          <w:sz w:val="24"/>
          <w:szCs w:val="24"/>
        </w:rPr>
        <w:t>s</w:t>
      </w:r>
      <w:r>
        <w:rPr>
          <w:sz w:val="24"/>
          <w:szCs w:val="24"/>
        </w:rPr>
        <w:t>]</w:t>
      </w:r>
      <w:r w:rsidRPr="00821A79">
        <w:rPr>
          <w:sz w:val="24"/>
          <w:szCs w:val="24"/>
        </w:rPr>
        <w:t xml:space="preserve">. </w:t>
      </w:r>
      <w:r>
        <w:rPr>
          <w:sz w:val="24"/>
          <w:szCs w:val="24"/>
        </w:rPr>
        <w:t>This roadmap</w:t>
      </w:r>
      <w:r w:rsidRPr="00821A79">
        <w:rPr>
          <w:sz w:val="24"/>
          <w:szCs w:val="24"/>
        </w:rPr>
        <w:t xml:space="preserve"> presents a set of recommended actions designed to prioritize investments in </w:t>
      </w:r>
      <w:r w:rsidR="00C83731">
        <w:rPr>
          <w:sz w:val="24"/>
          <w:szCs w:val="24"/>
        </w:rPr>
        <w:t>EWS and DRR</w:t>
      </w:r>
      <w:r w:rsidRPr="00821A79">
        <w:rPr>
          <w:sz w:val="24"/>
          <w:szCs w:val="24"/>
        </w:rPr>
        <w:t>, in accordance with Target G of the Sendai Framework for Disaster Risk Reduction</w:t>
      </w:r>
      <w:r>
        <w:rPr>
          <w:sz w:val="24"/>
          <w:szCs w:val="24"/>
        </w:rPr>
        <w:t xml:space="preserve">, </w:t>
      </w:r>
      <w:r w:rsidRPr="00821A79">
        <w:rPr>
          <w:sz w:val="24"/>
          <w:szCs w:val="24"/>
        </w:rPr>
        <w:t>and</w:t>
      </w:r>
      <w:r>
        <w:rPr>
          <w:sz w:val="24"/>
          <w:szCs w:val="24"/>
        </w:rPr>
        <w:t xml:space="preserve"> [reference to any relevant regional or national strategic document]</w:t>
      </w:r>
      <w:r w:rsidRPr="00821A79">
        <w:rPr>
          <w:sz w:val="24"/>
          <w:szCs w:val="24"/>
        </w:rPr>
        <w:t>.</w:t>
      </w:r>
    </w:p>
    <w:p w:rsidR="00477AFC" w:rsidP="00821A79" w:rsidRDefault="00821A79" w14:paraId="49B4EF28" w14:textId="04006967">
      <w:pPr>
        <w:jc w:val="both"/>
        <w:rPr>
          <w:sz w:val="24"/>
          <w:szCs w:val="24"/>
        </w:rPr>
      </w:pPr>
      <w:r w:rsidRPr="00821A79">
        <w:rPr>
          <w:sz w:val="24"/>
          <w:szCs w:val="24"/>
        </w:rPr>
        <w:t>Collaboratively crafted with input</w:t>
      </w:r>
      <w:r w:rsidR="00477AFC">
        <w:rPr>
          <w:sz w:val="24"/>
          <w:szCs w:val="24"/>
        </w:rPr>
        <w:t>s</w:t>
      </w:r>
      <w:r w:rsidRPr="00821A79">
        <w:rPr>
          <w:sz w:val="24"/>
          <w:szCs w:val="24"/>
        </w:rPr>
        <w:t xml:space="preserve"> from</w:t>
      </w:r>
      <w:r>
        <w:rPr>
          <w:sz w:val="24"/>
          <w:szCs w:val="24"/>
        </w:rPr>
        <w:t xml:space="preserve"> [list national agencies]</w:t>
      </w:r>
      <w:r w:rsidRPr="00821A79">
        <w:rPr>
          <w:sz w:val="24"/>
          <w:szCs w:val="24"/>
        </w:rPr>
        <w:t xml:space="preserve">, this Roadmap was </w:t>
      </w:r>
      <w:r>
        <w:rPr>
          <w:sz w:val="24"/>
          <w:szCs w:val="24"/>
        </w:rPr>
        <w:t>developed</w:t>
      </w:r>
      <w:r w:rsidRPr="00821A79">
        <w:rPr>
          <w:sz w:val="24"/>
          <w:szCs w:val="24"/>
        </w:rPr>
        <w:t xml:space="preserve"> by</w:t>
      </w:r>
      <w:r>
        <w:rPr>
          <w:sz w:val="24"/>
          <w:szCs w:val="24"/>
        </w:rPr>
        <w:t xml:space="preserve"> [agency]</w:t>
      </w:r>
      <w:r w:rsidRPr="00821A79">
        <w:rPr>
          <w:sz w:val="24"/>
          <w:szCs w:val="24"/>
        </w:rPr>
        <w:t>. It</w:t>
      </w:r>
      <w:r w:rsidR="00C83731">
        <w:rPr>
          <w:sz w:val="24"/>
          <w:szCs w:val="24"/>
        </w:rPr>
        <w:t xml:space="preserve"> </w:t>
      </w:r>
      <w:r w:rsidR="00ED3CFD">
        <w:rPr>
          <w:sz w:val="24"/>
          <w:szCs w:val="24"/>
        </w:rPr>
        <w:t>provides a basis for coordinated</w:t>
      </w:r>
      <w:r w:rsidRPr="00821A79">
        <w:rPr>
          <w:sz w:val="24"/>
          <w:szCs w:val="24"/>
        </w:rPr>
        <w:t xml:space="preserve"> efforts among diverse national and local agencies, channeling focused programming and resource allocation</w:t>
      </w:r>
      <w:r>
        <w:rPr>
          <w:sz w:val="24"/>
          <w:szCs w:val="24"/>
        </w:rPr>
        <w:t xml:space="preserve"> towards scaling up national early warning systems</w:t>
      </w:r>
      <w:r w:rsidRPr="00821A79">
        <w:rPr>
          <w:sz w:val="24"/>
          <w:szCs w:val="24"/>
        </w:rPr>
        <w:t>.</w:t>
      </w:r>
    </w:p>
    <w:p w:rsidRPr="00821A79" w:rsidR="00821A79" w:rsidP="00821A79" w:rsidRDefault="00821A79" w14:paraId="22EA250D" w14:textId="397603CF">
      <w:pPr>
        <w:jc w:val="both"/>
        <w:rPr>
          <w:sz w:val="24"/>
          <w:szCs w:val="24"/>
        </w:rPr>
      </w:pPr>
      <w:r w:rsidRPr="00821A79">
        <w:rPr>
          <w:sz w:val="24"/>
          <w:szCs w:val="24"/>
        </w:rPr>
        <w:lastRenderedPageBreak/>
        <w:t>The recommendations presented herein are</w:t>
      </w:r>
      <w:r w:rsidR="00477AFC">
        <w:rPr>
          <w:sz w:val="24"/>
          <w:szCs w:val="24"/>
        </w:rPr>
        <w:t xml:space="preserve"> based</w:t>
      </w:r>
      <w:r w:rsidR="00ED3CFD">
        <w:rPr>
          <w:sz w:val="24"/>
          <w:szCs w:val="24"/>
        </w:rPr>
        <w:t xml:space="preserve"> on</w:t>
      </w:r>
      <w:r w:rsidR="00477AFC">
        <w:rPr>
          <w:sz w:val="24"/>
          <w:szCs w:val="24"/>
        </w:rPr>
        <w:t xml:space="preserve"> identified national gaps, priorities and needs and cover the four pillars as well as the interpillar domain</w:t>
      </w:r>
      <w:r w:rsidR="00ED3CFD">
        <w:rPr>
          <w:sz w:val="24"/>
          <w:szCs w:val="24"/>
        </w:rPr>
        <w:t xml:space="preserve"> of EWS</w:t>
      </w:r>
      <w:r w:rsidRPr="00821A79">
        <w:rPr>
          <w:sz w:val="24"/>
          <w:szCs w:val="24"/>
        </w:rPr>
        <w:t>:</w:t>
      </w:r>
    </w:p>
    <w:p w:rsidR="00FF4C2D" w:rsidP="00483AD6" w:rsidRDefault="00483AD6" w14:paraId="532F6A17" w14:textId="77777777">
      <w:pPr>
        <w:jc w:val="both"/>
        <w:rPr>
          <w:sz w:val="24"/>
          <w:szCs w:val="24"/>
        </w:rPr>
      </w:pPr>
      <w:r w:rsidRPr="00483AD6">
        <w:rPr>
          <w:sz w:val="24"/>
          <w:szCs w:val="24"/>
        </w:rPr>
        <w:t>Pillar 1: Disaster Risk Knowledge</w:t>
      </w:r>
    </w:p>
    <w:p w:rsidRPr="00483AD6" w:rsidR="00483AD6" w:rsidP="00483AD6" w:rsidRDefault="00483AD6" w14:paraId="56F008E7" w14:textId="41B4E12E">
      <w:pPr>
        <w:jc w:val="both"/>
        <w:rPr>
          <w:sz w:val="24"/>
          <w:szCs w:val="24"/>
        </w:rPr>
      </w:pPr>
      <w:r w:rsidRPr="00483AD6">
        <w:rPr>
          <w:sz w:val="24"/>
          <w:szCs w:val="24"/>
        </w:rPr>
        <w:t>Pillar 2: Detection, Monitoring, Analysis, and Forecasting</w:t>
      </w:r>
    </w:p>
    <w:p w:rsidRPr="00483AD6" w:rsidR="00483AD6" w:rsidP="00483AD6" w:rsidRDefault="00483AD6" w14:paraId="519275B6" w14:textId="77777777">
      <w:pPr>
        <w:jc w:val="both"/>
        <w:rPr>
          <w:sz w:val="24"/>
          <w:szCs w:val="24"/>
        </w:rPr>
      </w:pPr>
      <w:r w:rsidRPr="00483AD6">
        <w:rPr>
          <w:sz w:val="24"/>
          <w:szCs w:val="24"/>
        </w:rPr>
        <w:t>Pillar 3: Warning Dissemination, and Communication</w:t>
      </w:r>
    </w:p>
    <w:p w:rsidRPr="00483AD6" w:rsidR="00483AD6" w:rsidP="00483AD6" w:rsidRDefault="00483AD6" w14:paraId="7ABAA141" w14:textId="77777777">
      <w:pPr>
        <w:jc w:val="both"/>
        <w:rPr>
          <w:sz w:val="24"/>
          <w:szCs w:val="24"/>
        </w:rPr>
      </w:pPr>
      <w:r w:rsidRPr="00483AD6">
        <w:rPr>
          <w:sz w:val="24"/>
          <w:szCs w:val="24"/>
        </w:rPr>
        <w:t>Pillar 4: Preparedness and Response Capabilities</w:t>
      </w:r>
    </w:p>
    <w:p w:rsidR="00477AFC" w:rsidP="007C6EE4" w:rsidRDefault="00483AD6" w14:paraId="5F2F8C2C" w14:textId="2ADAF126">
      <w:pPr>
        <w:jc w:val="both"/>
        <w:rPr>
          <w:sz w:val="24"/>
          <w:szCs w:val="24"/>
        </w:rPr>
      </w:pPr>
      <w:r w:rsidRPr="00483AD6">
        <w:rPr>
          <w:sz w:val="24"/>
          <w:szCs w:val="24"/>
        </w:rPr>
        <w:t xml:space="preserve">Additionally, the EWS Roadmap </w:t>
      </w:r>
      <w:r w:rsidR="0084460B">
        <w:rPr>
          <w:sz w:val="24"/>
          <w:szCs w:val="24"/>
        </w:rPr>
        <w:t xml:space="preserve">takes into account the interpillar domain, covering aspects around </w:t>
      </w:r>
      <w:r w:rsidRPr="00483AD6">
        <w:rPr>
          <w:sz w:val="24"/>
          <w:szCs w:val="24"/>
        </w:rPr>
        <w:t>governance</w:t>
      </w:r>
      <w:r w:rsidR="0084460B">
        <w:rPr>
          <w:sz w:val="24"/>
          <w:szCs w:val="24"/>
        </w:rPr>
        <w:t>, stakeholder coordination, advocacy, monitoring and evaluation and financing for early warning systems.</w:t>
      </w:r>
      <w:r w:rsidR="00477AFC">
        <w:rPr>
          <w:sz w:val="24"/>
          <w:szCs w:val="24"/>
        </w:rPr>
        <w:t xml:space="preserve"> </w:t>
      </w:r>
      <w:r w:rsidRPr="00477AFC" w:rsidR="00477AFC">
        <w:rPr>
          <w:sz w:val="24"/>
          <w:szCs w:val="24"/>
        </w:rPr>
        <w:t xml:space="preserve">This holistic approach guarantees a comprehensive and well-rounded enhancement of </w:t>
      </w:r>
      <w:r w:rsidR="00477AFC">
        <w:rPr>
          <w:sz w:val="24"/>
          <w:szCs w:val="24"/>
        </w:rPr>
        <w:t>[COUNTRY]’s</w:t>
      </w:r>
      <w:r w:rsidRPr="00477AFC" w:rsidR="00477AFC">
        <w:rPr>
          <w:sz w:val="24"/>
          <w:szCs w:val="24"/>
        </w:rPr>
        <w:t xml:space="preserve"> early warning infrastructure.</w:t>
      </w:r>
    </w:p>
    <w:p w:rsidR="00DE2ECB" w:rsidP="00A0484E" w:rsidRDefault="002501B7" w14:paraId="75B3A20B" w14:textId="7D8B1A5D">
      <w:pPr>
        <w:pStyle w:val="Heading2"/>
        <w:numPr>
          <w:ilvl w:val="0"/>
          <w:numId w:val="20"/>
        </w:numPr>
        <w:spacing w:before="0" w:after="0" w:line="240" w:lineRule="auto"/>
        <w:jc w:val="both"/>
        <w:rPr>
          <w:color w:val="0041A1"/>
          <w:sz w:val="28"/>
          <w:szCs w:val="28"/>
        </w:rPr>
      </w:pPr>
      <w:r>
        <w:rPr>
          <w:color w:val="0041A1"/>
          <w:sz w:val="28"/>
          <w:szCs w:val="28"/>
        </w:rPr>
        <w:t>Methodology &amp; Guiding Principles</w:t>
      </w:r>
    </w:p>
    <w:p w:rsidRPr="00ED3CFD" w:rsidR="002501B7" w:rsidP="002501B7" w:rsidRDefault="002501B7" w14:paraId="2ABCB581" w14:textId="77777777">
      <w:pPr>
        <w:rPr>
          <w:sz w:val="24"/>
          <w:szCs w:val="24"/>
        </w:rPr>
      </w:pPr>
    </w:p>
    <w:p w:rsidRPr="00ED3CFD" w:rsidR="00A97583" w:rsidP="00BA590A" w:rsidRDefault="002501B7" w14:paraId="27312EA8" w14:textId="0F42FD20">
      <w:pPr>
        <w:jc w:val="both"/>
        <w:rPr>
          <w:i/>
          <w:iCs/>
          <w:sz w:val="24"/>
          <w:szCs w:val="24"/>
        </w:rPr>
        <w:sectPr w:rsidRPr="00ED3CFD" w:rsidR="00A97583" w:rsidSect="005738B8">
          <w:headerReference w:type="default" r:id="rId11"/>
          <w:footerReference w:type="first" r:id="rId12"/>
          <w:pgSz w:w="11907" w:h="16839" w:orient="portrait" w:code="9"/>
          <w:pgMar w:top="1440" w:right="1440" w:bottom="1440" w:left="1440" w:header="720" w:footer="720" w:gutter="0"/>
          <w:cols w:space="720"/>
          <w:docGrid w:linePitch="381"/>
        </w:sectPr>
      </w:pPr>
      <w:r w:rsidRPr="00ED3CFD">
        <w:rPr>
          <w:sz w:val="24"/>
          <w:szCs w:val="24"/>
        </w:rPr>
        <w:t>[</w:t>
      </w:r>
      <w:r w:rsidRPr="00ED3CFD">
        <w:rPr>
          <w:i/>
          <w:iCs/>
          <w:sz w:val="24"/>
          <w:szCs w:val="24"/>
        </w:rPr>
        <w:t xml:space="preserve">If relevant, this section can </w:t>
      </w:r>
      <w:r w:rsidR="00ED3CFD">
        <w:rPr>
          <w:i/>
          <w:iCs/>
          <w:sz w:val="24"/>
          <w:szCs w:val="24"/>
        </w:rPr>
        <w:t>provide</w:t>
      </w:r>
      <w:r w:rsidRPr="00ED3CFD">
        <w:rPr>
          <w:i/>
          <w:iCs/>
          <w:sz w:val="24"/>
          <w:szCs w:val="24"/>
        </w:rPr>
        <w:t xml:space="preserve"> a brief</w:t>
      </w:r>
      <w:r w:rsidRPr="00ED3CFD">
        <w:rPr>
          <w:sz w:val="24"/>
          <w:szCs w:val="24"/>
        </w:rPr>
        <w:t xml:space="preserve"> </w:t>
      </w:r>
      <w:r w:rsidRPr="00ED3CFD">
        <w:rPr>
          <w:i/>
          <w:iCs/>
          <w:sz w:val="24"/>
          <w:szCs w:val="24"/>
        </w:rPr>
        <w:t>description of</w:t>
      </w:r>
      <w:r w:rsidRPr="00ED3CFD" w:rsidR="00180247">
        <w:rPr>
          <w:i/>
          <w:iCs/>
          <w:sz w:val="24"/>
          <w:szCs w:val="24"/>
        </w:rPr>
        <w:t xml:space="preserve"> the</w:t>
      </w:r>
      <w:r w:rsidRPr="00ED3CFD">
        <w:rPr>
          <w:i/>
          <w:iCs/>
          <w:sz w:val="24"/>
          <w:szCs w:val="24"/>
        </w:rPr>
        <w:t xml:space="preserve"> methodology used for compiling</w:t>
      </w:r>
      <w:r w:rsidRPr="00ED3CFD" w:rsidR="00180247">
        <w:rPr>
          <w:i/>
          <w:iCs/>
          <w:sz w:val="24"/>
          <w:szCs w:val="24"/>
        </w:rPr>
        <w:t xml:space="preserve"> the</w:t>
      </w:r>
      <w:r w:rsidRPr="00ED3CFD">
        <w:rPr>
          <w:i/>
          <w:iCs/>
          <w:sz w:val="24"/>
          <w:szCs w:val="24"/>
        </w:rPr>
        <w:t xml:space="preserve"> national </w:t>
      </w:r>
      <w:r w:rsidR="00ED3CFD">
        <w:rPr>
          <w:i/>
          <w:iCs/>
          <w:sz w:val="24"/>
          <w:szCs w:val="24"/>
        </w:rPr>
        <w:t xml:space="preserve">implementation </w:t>
      </w:r>
      <w:r w:rsidRPr="00ED3CFD">
        <w:rPr>
          <w:i/>
          <w:iCs/>
          <w:sz w:val="24"/>
          <w:szCs w:val="24"/>
        </w:rPr>
        <w:t xml:space="preserve">roadmap, including gap analysis, other foundational documents, validation, etc. This section can also highlight key principles to be </w:t>
      </w:r>
      <w:r w:rsidRPr="00ED3CFD" w:rsidR="00180247">
        <w:rPr>
          <w:i/>
          <w:iCs/>
          <w:sz w:val="24"/>
          <w:szCs w:val="24"/>
        </w:rPr>
        <w:t>prioritised</w:t>
      </w:r>
      <w:r w:rsidRPr="00ED3CFD">
        <w:rPr>
          <w:i/>
          <w:iCs/>
          <w:sz w:val="24"/>
          <w:szCs w:val="24"/>
        </w:rPr>
        <w:t xml:space="preserve"> when scaling up EWS, e.g. institutional buy-in and commitment to implementation,</w:t>
      </w:r>
      <w:r w:rsidRPr="00ED3CFD" w:rsidR="00180247">
        <w:rPr>
          <w:i/>
          <w:iCs/>
          <w:sz w:val="24"/>
          <w:szCs w:val="24"/>
        </w:rPr>
        <w:t xml:space="preserve"> gender- and disability-responsive EWS, </w:t>
      </w:r>
      <w:r w:rsidR="00ED3CFD">
        <w:rPr>
          <w:i/>
          <w:iCs/>
          <w:sz w:val="24"/>
          <w:szCs w:val="24"/>
        </w:rPr>
        <w:t xml:space="preserve">child and youth-sensitive EWS, </w:t>
      </w:r>
      <w:r w:rsidRPr="00ED3CFD" w:rsidR="00180247">
        <w:rPr>
          <w:i/>
          <w:iCs/>
          <w:sz w:val="24"/>
          <w:szCs w:val="24"/>
        </w:rPr>
        <w:t>inclusiveness, etc.</w:t>
      </w:r>
      <w:r w:rsidRPr="00ED3CFD">
        <w:rPr>
          <w:i/>
          <w:iCs/>
          <w:sz w:val="24"/>
          <w:szCs w:val="24"/>
        </w:rPr>
        <w:t xml:space="preserve"> ]</w:t>
      </w:r>
    </w:p>
    <w:p w:rsidRPr="00FF4C2D" w:rsidR="00B96D6D" w:rsidP="00B96D6D" w:rsidRDefault="00B96D6D" w14:paraId="76C21CC5" w14:textId="20751155">
      <w:pPr>
        <w:pStyle w:val="Heading2"/>
        <w:numPr>
          <w:ilvl w:val="0"/>
          <w:numId w:val="20"/>
        </w:numPr>
        <w:spacing w:before="0" w:after="0" w:line="240" w:lineRule="auto"/>
        <w:jc w:val="center"/>
        <w:rPr>
          <w:color w:val="0041A1"/>
          <w:sz w:val="28"/>
          <w:szCs w:val="28"/>
        </w:rPr>
      </w:pPr>
      <w:r>
        <w:rPr>
          <w:color w:val="0041A1"/>
          <w:sz w:val="28"/>
          <w:szCs w:val="28"/>
        </w:rPr>
        <w:lastRenderedPageBreak/>
        <w:t xml:space="preserve">National </w:t>
      </w:r>
      <w:r w:rsidR="00ED3CFD">
        <w:rPr>
          <w:color w:val="0041A1"/>
          <w:sz w:val="28"/>
          <w:szCs w:val="28"/>
        </w:rPr>
        <w:t xml:space="preserve">Implementation </w:t>
      </w:r>
      <w:r>
        <w:rPr>
          <w:color w:val="0041A1"/>
          <w:sz w:val="28"/>
          <w:szCs w:val="28"/>
        </w:rPr>
        <w:t>Roadmap towards scaling up Early warning systems</w:t>
      </w:r>
    </w:p>
    <w:p w:rsidR="00BA590A" w:rsidP="00BA590A" w:rsidRDefault="00BA590A" w14:paraId="620D39DD" w14:textId="320ECDD9">
      <w:pPr>
        <w:jc w:val="both"/>
        <w:rPr>
          <w:sz w:val="24"/>
          <w:szCs w:val="24"/>
        </w:rPr>
      </w:pPr>
    </w:p>
    <w:tbl>
      <w:tblPr>
        <w:tblStyle w:val="GridTable1Light-Accent3"/>
        <w:tblW w:w="16020" w:type="dxa"/>
        <w:tblInd w:w="-905" w:type="dxa"/>
        <w:tblLayout w:type="fixed"/>
        <w:tblLook w:val="04A0" w:firstRow="1" w:lastRow="0" w:firstColumn="1" w:lastColumn="0" w:noHBand="0" w:noVBand="1"/>
      </w:tblPr>
      <w:tblGrid>
        <w:gridCol w:w="1717"/>
        <w:gridCol w:w="1599"/>
        <w:gridCol w:w="2022"/>
        <w:gridCol w:w="3122"/>
        <w:gridCol w:w="1080"/>
        <w:gridCol w:w="1030"/>
        <w:gridCol w:w="833"/>
        <w:gridCol w:w="886"/>
        <w:gridCol w:w="768"/>
        <w:gridCol w:w="880"/>
        <w:gridCol w:w="1076"/>
        <w:gridCol w:w="1007"/>
      </w:tblGrid>
      <w:tr w:rsidRPr="00F62CB7" w:rsidR="00C71C24" w:rsidTr="00111FED" w14:paraId="24CD7DBF" w14:textId="156C6830">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6020" w:type="dxa"/>
            <w:gridSpan w:val="12"/>
          </w:tcPr>
          <w:p w:rsidRPr="00F62CB7" w:rsidR="00C71C24" w:rsidP="00C71C24" w:rsidRDefault="00C71C24" w14:paraId="3442BB97" w14:textId="77777777">
            <w:pPr>
              <w:jc w:val="center"/>
              <w:rPr>
                <w:b w:val="0"/>
                <w:bCs w:val="0"/>
                <w:sz w:val="22"/>
                <w:szCs w:val="22"/>
              </w:rPr>
            </w:pPr>
          </w:p>
          <w:p w:rsidRPr="00EC2B0C" w:rsidR="00C71C24" w:rsidP="00C71C24" w:rsidRDefault="00EC2B0C" w14:paraId="09140BF3" w14:textId="7121AACF">
            <w:pPr>
              <w:jc w:val="center"/>
              <w:rPr>
                <w:b w:val="0"/>
                <w:bCs w:val="0"/>
              </w:rPr>
            </w:pPr>
            <w:r w:rsidRPr="00EC2B0C">
              <w:t>PILLAR 1: DISASTER RISK KNOWLEDGE</w:t>
            </w:r>
          </w:p>
          <w:p w:rsidRPr="00F62CB7" w:rsidR="00C71C24" w:rsidP="00C71C24" w:rsidRDefault="00C71C24" w14:paraId="584CC880" w14:textId="7F23522A">
            <w:pPr>
              <w:jc w:val="center"/>
              <w:rPr>
                <w:sz w:val="22"/>
                <w:szCs w:val="22"/>
              </w:rPr>
            </w:pPr>
          </w:p>
        </w:tc>
      </w:tr>
      <w:tr w:rsidRPr="00F62CB7" w:rsidR="00111FED" w:rsidTr="00332ABF" w14:paraId="30BA80C4" w14:textId="14B4AF71">
        <w:trPr>
          <w:trHeight w:val="509"/>
        </w:trPr>
        <w:tc>
          <w:tcPr>
            <w:cnfStyle w:val="001000000000" w:firstRow="0" w:lastRow="0" w:firstColumn="1" w:lastColumn="0" w:oddVBand="0" w:evenVBand="0" w:oddHBand="0" w:evenHBand="0" w:firstRowFirstColumn="0" w:firstRowLastColumn="0" w:lastRowFirstColumn="0" w:lastRowLastColumn="0"/>
            <w:tcW w:w="1717" w:type="dxa"/>
            <w:vMerge w:val="restart"/>
            <w:vAlign w:val="center"/>
          </w:tcPr>
          <w:p w:rsidRPr="00F62CB7" w:rsidR="00C71C24" w:rsidP="00332ABF" w:rsidRDefault="00C71C24" w14:paraId="7A5DBC75" w14:textId="7B367A6E">
            <w:pPr>
              <w:spacing w:after="360"/>
              <w:jc w:val="center"/>
              <w:rPr>
                <w:sz w:val="22"/>
                <w:szCs w:val="22"/>
              </w:rPr>
            </w:pPr>
            <w:r w:rsidRPr="00F62CB7">
              <w:rPr>
                <w:sz w:val="22"/>
                <w:szCs w:val="22"/>
              </w:rPr>
              <w:t>Gap Identified</w:t>
            </w:r>
          </w:p>
        </w:tc>
        <w:tc>
          <w:tcPr>
            <w:tcW w:w="1599" w:type="dxa"/>
            <w:vMerge w:val="restart"/>
            <w:vAlign w:val="center"/>
          </w:tcPr>
          <w:p w:rsidRPr="00F62CB7" w:rsidR="00C71C24" w:rsidP="00332ABF" w:rsidRDefault="00180247" w14:paraId="7913DDEB" w14:textId="35451242">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Associated</w:t>
            </w:r>
            <w:r w:rsidRPr="00F62CB7">
              <w:rPr>
                <w:b/>
                <w:bCs/>
                <w:sz w:val="22"/>
                <w:szCs w:val="22"/>
              </w:rPr>
              <w:t xml:space="preserve"> </w:t>
            </w:r>
            <w:r w:rsidRPr="00F62CB7" w:rsidR="00C71C24">
              <w:rPr>
                <w:b/>
                <w:bCs/>
                <w:sz w:val="22"/>
                <w:szCs w:val="22"/>
              </w:rPr>
              <w:t>Output</w:t>
            </w:r>
          </w:p>
        </w:tc>
        <w:tc>
          <w:tcPr>
            <w:tcW w:w="2022" w:type="dxa"/>
            <w:vMerge w:val="restart"/>
            <w:vAlign w:val="center"/>
          </w:tcPr>
          <w:p w:rsidRPr="00F62CB7" w:rsidR="00C71C24" w:rsidP="00332ABF" w:rsidRDefault="00C71C24" w14:paraId="0A3585AC" w14:textId="78893400">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Output indicator</w:t>
            </w:r>
          </w:p>
        </w:tc>
        <w:tc>
          <w:tcPr>
            <w:tcW w:w="3122" w:type="dxa"/>
            <w:vMerge w:val="restart"/>
            <w:vAlign w:val="center"/>
          </w:tcPr>
          <w:p w:rsidRPr="00F62CB7" w:rsidR="00C71C24" w:rsidP="00332ABF" w:rsidRDefault="00C71C24" w14:paraId="4255D05B" w14:textId="50B78A6F">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Activities</w:t>
            </w:r>
          </w:p>
        </w:tc>
        <w:tc>
          <w:tcPr>
            <w:tcW w:w="2110" w:type="dxa"/>
            <w:gridSpan w:val="2"/>
            <w:vAlign w:val="center"/>
          </w:tcPr>
          <w:p w:rsidRPr="00F62CB7" w:rsidR="00C71C24" w:rsidP="00332ABF" w:rsidRDefault="00C71C24" w14:paraId="01604E27" w14:textId="4694E41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Responsibility</w:t>
            </w:r>
          </w:p>
        </w:tc>
        <w:tc>
          <w:tcPr>
            <w:tcW w:w="3367" w:type="dxa"/>
            <w:gridSpan w:val="4"/>
            <w:vAlign w:val="center"/>
          </w:tcPr>
          <w:p w:rsidRPr="00F62CB7" w:rsidR="00C71C24" w:rsidP="00332ABF" w:rsidRDefault="00C71C24" w14:paraId="77C3E1CE" w14:textId="3BE7988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Implementation Timeline</w:t>
            </w:r>
          </w:p>
        </w:tc>
        <w:tc>
          <w:tcPr>
            <w:tcW w:w="1076" w:type="dxa"/>
            <w:vMerge w:val="restart"/>
            <w:vAlign w:val="center"/>
          </w:tcPr>
          <w:p w:rsidRPr="00F62CB7" w:rsidR="00C71C24" w:rsidP="00332ABF" w:rsidRDefault="00C71C24" w14:paraId="72BB4CD4" w14:textId="0E7A3D7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USD / LCU</w:t>
            </w:r>
          </w:p>
        </w:tc>
        <w:tc>
          <w:tcPr>
            <w:tcW w:w="1007" w:type="dxa"/>
            <w:vMerge w:val="restart"/>
            <w:vAlign w:val="center"/>
          </w:tcPr>
          <w:p w:rsidRPr="00F62CB7" w:rsidR="00C71C24" w:rsidP="00332ABF" w:rsidRDefault="00C71C24" w14:paraId="167F457F" w14:textId="4C2DA5B2">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Source</w:t>
            </w:r>
          </w:p>
        </w:tc>
      </w:tr>
      <w:tr w:rsidR="00111FED" w:rsidTr="00332ABF" w14:paraId="021E03EB" w14:textId="2B99E2F1">
        <w:tc>
          <w:tcPr>
            <w:cnfStyle w:val="001000000000" w:firstRow="0" w:lastRow="0" w:firstColumn="1" w:lastColumn="0" w:oddVBand="0" w:evenVBand="0" w:oddHBand="0" w:evenHBand="0" w:firstRowFirstColumn="0" w:firstRowLastColumn="0" w:lastRowFirstColumn="0" w:lastRowLastColumn="0"/>
            <w:tcW w:w="1717" w:type="dxa"/>
            <w:vMerge/>
          </w:tcPr>
          <w:p w:rsidR="00C71C24" w:rsidP="00C71C24" w:rsidRDefault="00C71C24" w14:paraId="7DEAAC73" w14:textId="2B37153C">
            <w:pPr>
              <w:jc w:val="center"/>
              <w:rPr>
                <w:sz w:val="24"/>
                <w:szCs w:val="24"/>
              </w:rPr>
            </w:pPr>
          </w:p>
        </w:tc>
        <w:tc>
          <w:tcPr>
            <w:tcW w:w="1599" w:type="dxa"/>
            <w:vMerge/>
          </w:tcPr>
          <w:p w:rsidR="00C71C24" w:rsidP="00C71C24" w:rsidRDefault="00C71C24" w14:paraId="2EE6C265" w14:textId="5207F31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vMerge/>
          </w:tcPr>
          <w:p w:rsidR="00C71C24" w:rsidP="00C71C24" w:rsidRDefault="00C71C24" w14:paraId="65BC7807" w14:textId="6CDD155B">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vMerge/>
          </w:tcPr>
          <w:p w:rsidR="00C71C24" w:rsidP="00C71C24" w:rsidRDefault="00C71C24" w14:paraId="0A558E7F" w14:textId="1409A2CF">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vAlign w:val="center"/>
          </w:tcPr>
          <w:p w:rsidRPr="00F62CB7" w:rsidR="00C71C24" w:rsidP="00332ABF" w:rsidRDefault="00C71C24" w14:paraId="0F484B79" w14:textId="545AB946">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Lead</w:t>
            </w:r>
          </w:p>
        </w:tc>
        <w:tc>
          <w:tcPr>
            <w:tcW w:w="1030" w:type="dxa"/>
            <w:vAlign w:val="center"/>
          </w:tcPr>
          <w:p w:rsidRPr="00F62CB7" w:rsidR="00C71C24" w:rsidP="00332ABF" w:rsidRDefault="00C71C24" w14:paraId="6384104F" w14:textId="3782A0E0">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Support</w:t>
            </w:r>
          </w:p>
        </w:tc>
        <w:tc>
          <w:tcPr>
            <w:tcW w:w="833" w:type="dxa"/>
            <w:vAlign w:val="center"/>
          </w:tcPr>
          <w:p w:rsidRPr="00F62CB7" w:rsidR="00C71C24" w:rsidP="00332ABF" w:rsidRDefault="00C71C24" w14:paraId="5C729F1C" w14:textId="296281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1</w:t>
            </w:r>
          </w:p>
        </w:tc>
        <w:tc>
          <w:tcPr>
            <w:tcW w:w="886" w:type="dxa"/>
            <w:vAlign w:val="center"/>
          </w:tcPr>
          <w:p w:rsidRPr="00F62CB7" w:rsidR="00C71C24" w:rsidP="00332ABF" w:rsidRDefault="00C71C24" w14:paraId="344ECB0A" w14:textId="43025FF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2</w:t>
            </w:r>
          </w:p>
        </w:tc>
        <w:tc>
          <w:tcPr>
            <w:tcW w:w="768" w:type="dxa"/>
            <w:vAlign w:val="center"/>
          </w:tcPr>
          <w:p w:rsidRPr="00F62CB7" w:rsidR="00C71C24" w:rsidP="00332ABF" w:rsidRDefault="00C71C24" w14:paraId="4DD01E9E" w14:textId="42A68F61">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3</w:t>
            </w:r>
          </w:p>
        </w:tc>
        <w:tc>
          <w:tcPr>
            <w:tcW w:w="880" w:type="dxa"/>
            <w:vAlign w:val="center"/>
          </w:tcPr>
          <w:p w:rsidRPr="00F62CB7" w:rsidR="00C71C24" w:rsidP="00332ABF" w:rsidRDefault="00C71C24" w14:paraId="44336106" w14:textId="6ABAEE9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4</w:t>
            </w:r>
          </w:p>
        </w:tc>
        <w:tc>
          <w:tcPr>
            <w:tcW w:w="1076" w:type="dxa"/>
            <w:vMerge/>
          </w:tcPr>
          <w:p w:rsidR="00C71C24" w:rsidP="00C71C24" w:rsidRDefault="00C71C24" w14:paraId="49A40E2B" w14:textId="6A064B0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vMerge/>
          </w:tcPr>
          <w:p w:rsidR="00C71C24" w:rsidP="00C71C24" w:rsidRDefault="00C71C24" w14:paraId="35C06090" w14:textId="46D09D41">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Pr="00F62CB7" w:rsidR="00111FED" w:rsidTr="00111FED" w14:paraId="72AF8419" w14:textId="30453F18">
        <w:trPr>
          <w:trHeight w:val="1748"/>
        </w:trPr>
        <w:tc>
          <w:tcPr>
            <w:cnfStyle w:val="001000000000" w:firstRow="0" w:lastRow="0" w:firstColumn="1" w:lastColumn="0" w:oddVBand="0" w:evenVBand="0" w:oddHBand="0" w:evenHBand="0" w:firstRowFirstColumn="0" w:firstRowLastColumn="0" w:lastRowFirstColumn="0" w:lastRowLastColumn="0"/>
            <w:tcW w:w="1717" w:type="dxa"/>
            <w:vMerge w:val="restart"/>
          </w:tcPr>
          <w:p w:rsidR="00B96D6D" w:rsidP="00EC2B0C" w:rsidRDefault="00B96D6D" w14:paraId="215F8059" w14:textId="77777777">
            <w:pPr>
              <w:rPr>
                <w:i/>
                <w:iCs/>
                <w:sz w:val="20"/>
                <w:szCs w:val="20"/>
              </w:rPr>
            </w:pPr>
            <w:r>
              <w:rPr>
                <w:b w:val="0"/>
                <w:bCs w:val="0"/>
                <w:i/>
                <w:iCs/>
                <w:sz w:val="20"/>
                <w:szCs w:val="20"/>
              </w:rPr>
              <w:t xml:space="preserve">Example: </w:t>
            </w:r>
          </w:p>
          <w:p w:rsidR="00B96D6D" w:rsidP="00EC2B0C" w:rsidRDefault="00B96D6D" w14:paraId="08C880FA" w14:textId="77777777">
            <w:pPr>
              <w:rPr>
                <w:i/>
                <w:iCs/>
                <w:sz w:val="20"/>
                <w:szCs w:val="20"/>
              </w:rPr>
            </w:pPr>
          </w:p>
          <w:p w:rsidRPr="002623C7" w:rsidR="00EC2B0C" w:rsidP="00EC2B0C" w:rsidRDefault="00EC2B0C" w14:paraId="5488EE97" w14:textId="67CB9964">
            <w:pPr>
              <w:rPr>
                <w:b w:val="0"/>
                <w:bCs w:val="0"/>
                <w:i/>
                <w:iCs/>
                <w:sz w:val="20"/>
                <w:szCs w:val="20"/>
              </w:rPr>
            </w:pPr>
            <w:r w:rsidRPr="002623C7">
              <w:rPr>
                <w:b w:val="0"/>
                <w:bCs w:val="0"/>
                <w:i/>
                <w:iCs/>
                <w:sz w:val="20"/>
                <w:szCs w:val="20"/>
              </w:rPr>
              <w:t>Hazard and vulnerability assessments do not capture key vulnerability indicators</w:t>
            </w:r>
          </w:p>
        </w:tc>
        <w:tc>
          <w:tcPr>
            <w:tcW w:w="1599" w:type="dxa"/>
            <w:vMerge w:val="restart"/>
          </w:tcPr>
          <w:p w:rsidR="00B96D6D" w:rsidP="00B96D6D" w:rsidRDefault="00B96D6D" w14:paraId="18D540B9" w14:textId="4820CA21">
            <w:pPr>
              <w:cnfStyle w:val="000000000000" w:firstRow="0" w:lastRow="0" w:firstColumn="0" w:lastColumn="0" w:oddVBand="0" w:evenVBand="0" w:oddHBand="0" w:evenHBand="0" w:firstRowFirstColumn="0" w:firstRowLastColumn="0" w:lastRowFirstColumn="0" w:lastRowLastColumn="0"/>
              <w:rPr>
                <w:i/>
                <w:iCs/>
                <w:sz w:val="20"/>
                <w:szCs w:val="20"/>
              </w:rPr>
            </w:pPr>
            <w:r w:rsidRPr="00B96D6D">
              <w:rPr>
                <w:i/>
                <w:iCs/>
                <w:sz w:val="20"/>
                <w:szCs w:val="20"/>
              </w:rPr>
              <w:t xml:space="preserve">Example: </w:t>
            </w:r>
          </w:p>
          <w:p w:rsidRPr="00B96D6D" w:rsidR="00B96D6D" w:rsidP="00B96D6D" w:rsidRDefault="00B96D6D" w14:paraId="2CF7346C"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p w:rsidR="00EC2B0C" w:rsidP="00EC2B0C" w:rsidRDefault="00EC2B0C" w14:paraId="4E0DCFA4" w14:textId="77777777">
            <w:pP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Revision of hazard and vulnerability assessments methodologies</w:t>
            </w:r>
          </w:p>
          <w:p w:rsidR="00B96D6D" w:rsidP="00EC2B0C" w:rsidRDefault="00B96D6D" w14:paraId="6FF00D2A"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p w:rsidRPr="002623C7" w:rsidR="00B96D6D" w:rsidP="00EC2B0C" w:rsidRDefault="00B96D6D" w14:paraId="2435F4BF" w14:textId="02E395A2">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2022" w:type="dxa"/>
            <w:vMerge w:val="restart"/>
          </w:tcPr>
          <w:p w:rsidR="00B96D6D" w:rsidP="00EC2B0C" w:rsidRDefault="00B96D6D" w14:paraId="5E1D72B4" w14:textId="650D362D">
            <w:pP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Example: </w:t>
            </w:r>
          </w:p>
          <w:p w:rsidR="00B96D6D" w:rsidP="00EC2B0C" w:rsidRDefault="00B96D6D" w14:paraId="46E45728"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p w:rsidRPr="002623C7" w:rsidR="00EC2B0C" w:rsidP="00EC2B0C" w:rsidRDefault="00EC2B0C" w14:paraId="44FAFE5B" w14:textId="22A2E44F">
            <w:pP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Existence of hazard and vulnerability methodology capturing gender, historical, cultural indicators and climate change</w:t>
            </w:r>
          </w:p>
        </w:tc>
        <w:tc>
          <w:tcPr>
            <w:tcW w:w="3122" w:type="dxa"/>
          </w:tcPr>
          <w:p w:rsidRPr="00B96D6D" w:rsidR="00B96D6D" w:rsidP="00B96D6D" w:rsidRDefault="00B96D6D" w14:paraId="61DA8874" w14:textId="4CCC52B8">
            <w:pP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Example: </w:t>
            </w:r>
          </w:p>
          <w:p w:rsidRPr="002623C7" w:rsidR="00EC2B0C" w:rsidP="00EC2B0C" w:rsidRDefault="00EC2B0C" w14:paraId="6BFCC106" w14:textId="40F0683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Review and revision of hazard and vulnerability assessment methodologies to include age, gender, cultural and historical considerations</w:t>
            </w:r>
          </w:p>
        </w:tc>
        <w:tc>
          <w:tcPr>
            <w:tcW w:w="1080" w:type="dxa"/>
          </w:tcPr>
          <w:p w:rsidRPr="002623C7" w:rsidR="00EC2B0C" w:rsidP="00ED3CFD" w:rsidRDefault="00EC2B0C" w14:paraId="5A85E675" w14:textId="67270795">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030" w:type="dxa"/>
          </w:tcPr>
          <w:p w:rsidRPr="002623C7" w:rsidR="00EC2B0C" w:rsidP="00ED3CFD" w:rsidRDefault="00EC2B0C" w14:paraId="5DE70A44" w14:textId="02F6B6BF">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833" w:type="dxa"/>
            <w:shd w:val="clear" w:color="auto" w:fill="0BD0D9" w:themeFill="accent3"/>
          </w:tcPr>
          <w:p w:rsidRPr="002623C7" w:rsidR="00EC2B0C" w:rsidP="00ED3CFD" w:rsidRDefault="00EC2B0C" w14:paraId="0381C4E6"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886" w:type="dxa"/>
          </w:tcPr>
          <w:p w:rsidRPr="002623C7" w:rsidR="00EC2B0C" w:rsidP="00ED3CFD" w:rsidRDefault="00EC2B0C" w14:paraId="246B5824"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tcPr>
          <w:p w:rsidRPr="002623C7" w:rsidR="00EC2B0C" w:rsidP="00ED3CFD" w:rsidRDefault="00EC2B0C" w14:paraId="4521137A"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880" w:type="dxa"/>
          </w:tcPr>
          <w:p w:rsidRPr="002623C7" w:rsidR="00EC2B0C" w:rsidP="00ED3CFD" w:rsidRDefault="00EC2B0C" w14:paraId="20F50437"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tcPr>
          <w:p w:rsidRPr="002623C7" w:rsidR="00EC2B0C" w:rsidP="00ED3CFD" w:rsidRDefault="00EC2B0C" w14:paraId="6B9239D5" w14:textId="3FC9A5CA">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007" w:type="dxa"/>
          </w:tcPr>
          <w:p w:rsidRPr="002623C7" w:rsidR="00EC2B0C" w:rsidP="00ED3CFD" w:rsidRDefault="00EC2B0C" w14:paraId="63C19078" w14:textId="164AC3D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111FED" w:rsidTr="00111FED" w14:paraId="38DF4DE6" w14:textId="13D0419C">
        <w:tc>
          <w:tcPr>
            <w:cnfStyle w:val="001000000000" w:firstRow="0" w:lastRow="0" w:firstColumn="1" w:lastColumn="0" w:oddVBand="0" w:evenVBand="0" w:oddHBand="0" w:evenHBand="0" w:firstRowFirstColumn="0" w:firstRowLastColumn="0" w:lastRowFirstColumn="0" w:lastRowLastColumn="0"/>
            <w:tcW w:w="1717" w:type="dxa"/>
            <w:vMerge/>
          </w:tcPr>
          <w:p w:rsidRPr="002623C7" w:rsidR="00EC2B0C" w:rsidP="00EC2B0C" w:rsidRDefault="00EC2B0C" w14:paraId="526BB648" w14:textId="77777777">
            <w:pPr>
              <w:rPr>
                <w:i/>
                <w:iCs/>
                <w:sz w:val="24"/>
                <w:szCs w:val="24"/>
              </w:rPr>
            </w:pPr>
          </w:p>
        </w:tc>
        <w:tc>
          <w:tcPr>
            <w:tcW w:w="1599" w:type="dxa"/>
            <w:vMerge/>
          </w:tcPr>
          <w:p w:rsidRPr="002623C7" w:rsidR="00EC2B0C" w:rsidP="00EC2B0C" w:rsidRDefault="00EC2B0C" w14:paraId="093CC419"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022" w:type="dxa"/>
            <w:vMerge/>
          </w:tcPr>
          <w:p w:rsidRPr="002623C7" w:rsidR="00EC2B0C" w:rsidP="00EC2B0C" w:rsidRDefault="00EC2B0C" w14:paraId="7B3BA1AF"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122" w:type="dxa"/>
          </w:tcPr>
          <w:p w:rsidRPr="002623C7" w:rsidR="00EC2B0C" w:rsidP="00EC2B0C" w:rsidRDefault="00EC2B0C" w14:paraId="1D2C72AE" w14:textId="1CE0A4E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Development of vulnerability assessment methodologies for critical infrastructure</w:t>
            </w:r>
          </w:p>
          <w:p w:rsidRPr="002623C7" w:rsidR="00EC2B0C" w:rsidP="00EC2B0C" w:rsidRDefault="00EC2B0C" w14:paraId="39B6B607" w14:textId="09264B89">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80" w:type="dxa"/>
          </w:tcPr>
          <w:p w:rsidRPr="002623C7" w:rsidR="00EC2B0C" w:rsidP="00ED3CFD" w:rsidRDefault="00EC2B0C" w14:paraId="31720356"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30" w:type="dxa"/>
          </w:tcPr>
          <w:p w:rsidRPr="002623C7" w:rsidR="00EC2B0C" w:rsidP="00ED3CFD" w:rsidRDefault="00EC2B0C" w14:paraId="7DF6B715"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833" w:type="dxa"/>
          </w:tcPr>
          <w:p w:rsidRPr="002623C7" w:rsidR="00EC2B0C" w:rsidP="00ED3CFD" w:rsidRDefault="00EC2B0C" w14:paraId="7CDA8D59"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886" w:type="dxa"/>
            <w:shd w:val="clear" w:color="auto" w:fill="0BD0D9" w:themeFill="accent3"/>
          </w:tcPr>
          <w:p w:rsidRPr="002623C7" w:rsidR="00EC2B0C" w:rsidP="00ED3CFD" w:rsidRDefault="00EC2B0C" w14:paraId="676D7EC0"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EC2B0C" w:rsidP="00ED3CFD" w:rsidRDefault="00EC2B0C" w14:paraId="6EA4697C"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880" w:type="dxa"/>
          </w:tcPr>
          <w:p w:rsidRPr="002623C7" w:rsidR="00EC2B0C" w:rsidP="00ED3CFD" w:rsidRDefault="00EC2B0C" w14:paraId="346F9CCE"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EC2B0C" w:rsidP="00ED3CFD" w:rsidRDefault="00EC2B0C" w14:paraId="3771B45F"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07" w:type="dxa"/>
          </w:tcPr>
          <w:p w:rsidRPr="002623C7" w:rsidR="00EC2B0C" w:rsidP="00ED3CFD" w:rsidRDefault="00EC2B0C" w14:paraId="20216AEB" w14:textId="77777777">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r>
      <w:tr w:rsidR="00111FED" w:rsidTr="00111FED" w14:paraId="03C0AE47" w14:textId="3D0F7B02">
        <w:trPr>
          <w:trHeight w:val="974"/>
        </w:trPr>
        <w:tc>
          <w:tcPr>
            <w:cnfStyle w:val="001000000000" w:firstRow="0" w:lastRow="0" w:firstColumn="1" w:lastColumn="0" w:oddVBand="0" w:evenVBand="0" w:oddHBand="0" w:evenHBand="0" w:firstRowFirstColumn="0" w:firstRowLastColumn="0" w:lastRowFirstColumn="0" w:lastRowLastColumn="0"/>
            <w:tcW w:w="1717" w:type="dxa"/>
            <w:vMerge/>
          </w:tcPr>
          <w:p w:rsidRPr="002623C7" w:rsidR="00EC2B0C" w:rsidP="00EC2B0C" w:rsidRDefault="00EC2B0C" w14:paraId="69BC39D5" w14:textId="77777777">
            <w:pPr>
              <w:rPr>
                <w:i/>
                <w:iCs/>
                <w:sz w:val="24"/>
                <w:szCs w:val="24"/>
              </w:rPr>
            </w:pPr>
          </w:p>
        </w:tc>
        <w:tc>
          <w:tcPr>
            <w:tcW w:w="1599" w:type="dxa"/>
            <w:vMerge/>
          </w:tcPr>
          <w:p w:rsidRPr="002623C7" w:rsidR="00EC2B0C" w:rsidP="00EC2B0C" w:rsidRDefault="00EC2B0C" w14:paraId="750392F1"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022" w:type="dxa"/>
            <w:vMerge/>
          </w:tcPr>
          <w:p w:rsidRPr="002623C7" w:rsidR="00EC2B0C" w:rsidP="00EC2B0C" w:rsidRDefault="00EC2B0C" w14:paraId="25291D57"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122" w:type="dxa"/>
          </w:tcPr>
          <w:p w:rsidRPr="002623C7" w:rsidR="00EC2B0C" w:rsidP="00EC2B0C" w:rsidRDefault="00EC2B0C" w14:paraId="35575AC3" w14:textId="74D555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Capacity development on vulnerability assessment methodologies</w:t>
            </w:r>
          </w:p>
        </w:tc>
        <w:tc>
          <w:tcPr>
            <w:tcW w:w="1080" w:type="dxa"/>
          </w:tcPr>
          <w:p w:rsidRPr="002623C7" w:rsidR="00EC2B0C" w:rsidP="002623C7" w:rsidRDefault="00EC2B0C" w14:paraId="7341C19B"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30" w:type="dxa"/>
          </w:tcPr>
          <w:p w:rsidRPr="002623C7" w:rsidR="00EC2B0C" w:rsidP="002623C7" w:rsidRDefault="00EC2B0C" w14:paraId="3CAD3E30"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33" w:type="dxa"/>
          </w:tcPr>
          <w:p w:rsidRPr="002623C7" w:rsidR="00EC2B0C" w:rsidP="002623C7" w:rsidRDefault="00EC2B0C" w14:paraId="5D377A0C"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86" w:type="dxa"/>
            <w:shd w:val="clear" w:color="auto" w:fill="0BD0D9" w:themeFill="accent3"/>
          </w:tcPr>
          <w:p w:rsidRPr="002623C7" w:rsidR="00EC2B0C" w:rsidP="002623C7" w:rsidRDefault="00EC2B0C" w14:paraId="34520A8F"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0BD0D9" w:themeFill="accent3"/>
          </w:tcPr>
          <w:p w:rsidRPr="002623C7" w:rsidR="00EC2B0C" w:rsidP="002623C7" w:rsidRDefault="00EC2B0C" w14:paraId="4A6BCE84"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80" w:type="dxa"/>
            <w:shd w:val="clear" w:color="auto" w:fill="0BD0D9" w:themeFill="accent3"/>
          </w:tcPr>
          <w:p w:rsidRPr="002623C7" w:rsidR="00EC2B0C" w:rsidP="002623C7" w:rsidRDefault="00EC2B0C" w14:paraId="24DE6B22"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EC2B0C" w:rsidP="002623C7" w:rsidRDefault="00EC2B0C" w14:paraId="15EEDA10"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07" w:type="dxa"/>
          </w:tcPr>
          <w:p w:rsidRPr="002623C7" w:rsidR="00EC2B0C" w:rsidP="002623C7" w:rsidRDefault="00EC2B0C" w14:paraId="07306598"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111FED" w:rsidTr="00111FED" w14:paraId="3FF1E053" w14:textId="66B61A29">
        <w:trPr>
          <w:trHeight w:val="1433"/>
        </w:trPr>
        <w:tc>
          <w:tcPr>
            <w:cnfStyle w:val="001000000000" w:firstRow="0" w:lastRow="0" w:firstColumn="1" w:lastColumn="0" w:oddVBand="0" w:evenVBand="0" w:oddHBand="0" w:evenHBand="0" w:firstRowFirstColumn="0" w:firstRowLastColumn="0" w:lastRowFirstColumn="0" w:lastRowLastColumn="0"/>
            <w:tcW w:w="1717" w:type="dxa"/>
          </w:tcPr>
          <w:p w:rsidR="005738B8" w:rsidP="005738B8" w:rsidRDefault="005738B8" w14:paraId="11EA92BE" w14:textId="77777777">
            <w:pPr>
              <w:jc w:val="both"/>
              <w:rPr>
                <w:sz w:val="24"/>
                <w:szCs w:val="24"/>
              </w:rPr>
            </w:pPr>
          </w:p>
        </w:tc>
        <w:tc>
          <w:tcPr>
            <w:tcW w:w="1599" w:type="dxa"/>
          </w:tcPr>
          <w:p w:rsidR="005738B8" w:rsidP="005738B8" w:rsidRDefault="005738B8" w14:paraId="6F0C384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rsidR="005738B8" w:rsidP="005738B8" w:rsidRDefault="005738B8" w14:paraId="42D89B1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rsidR="005738B8" w:rsidP="005738B8" w:rsidRDefault="005738B8" w14:paraId="0AC1C4E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rsidR="005738B8" w:rsidP="005738B8" w:rsidRDefault="005738B8" w14:paraId="46AB90B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rsidR="005738B8" w:rsidP="005738B8" w:rsidRDefault="005738B8" w14:paraId="3EDB51D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rsidR="005738B8" w:rsidP="005738B8" w:rsidRDefault="005738B8" w14:paraId="7EDF4FA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rsidR="005738B8" w:rsidP="005738B8" w:rsidRDefault="005738B8" w14:paraId="58000D3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738B8" w:rsidP="005738B8" w:rsidRDefault="005738B8" w14:paraId="1506E1F3"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rsidR="005738B8" w:rsidP="005738B8" w:rsidRDefault="005738B8" w14:paraId="4416F64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738B8" w:rsidP="005738B8" w:rsidRDefault="005738B8" w14:paraId="73167B9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rsidR="005738B8" w:rsidP="005738B8" w:rsidRDefault="005738B8" w14:paraId="40907B3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29E995A6" w14:textId="01D3D6B5">
        <w:trPr>
          <w:trHeight w:val="1377"/>
        </w:trPr>
        <w:tc>
          <w:tcPr>
            <w:cnfStyle w:val="001000000000" w:firstRow="0" w:lastRow="0" w:firstColumn="1" w:lastColumn="0" w:oddVBand="0" w:evenVBand="0" w:oddHBand="0" w:evenHBand="0" w:firstRowFirstColumn="0" w:firstRowLastColumn="0" w:lastRowFirstColumn="0" w:lastRowLastColumn="0"/>
            <w:tcW w:w="1717" w:type="dxa"/>
          </w:tcPr>
          <w:p w:rsidR="005738B8" w:rsidP="005738B8" w:rsidRDefault="005738B8" w14:paraId="3D379948" w14:textId="77777777">
            <w:pPr>
              <w:jc w:val="both"/>
              <w:rPr>
                <w:sz w:val="24"/>
                <w:szCs w:val="24"/>
              </w:rPr>
            </w:pPr>
          </w:p>
        </w:tc>
        <w:tc>
          <w:tcPr>
            <w:tcW w:w="1599" w:type="dxa"/>
          </w:tcPr>
          <w:p w:rsidR="005738B8" w:rsidP="005738B8" w:rsidRDefault="005738B8" w14:paraId="190043C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rsidR="005738B8" w:rsidP="005738B8" w:rsidRDefault="005738B8" w14:paraId="3A354DB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rsidR="005738B8" w:rsidP="005738B8" w:rsidRDefault="005738B8" w14:paraId="29F2205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rsidR="005738B8" w:rsidP="005738B8" w:rsidRDefault="005738B8" w14:paraId="48CFADC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rsidR="005738B8" w:rsidP="005738B8" w:rsidRDefault="005738B8" w14:paraId="624A950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rsidR="005738B8" w:rsidP="005738B8" w:rsidRDefault="005738B8" w14:paraId="62439F9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rsidR="005738B8" w:rsidP="005738B8" w:rsidRDefault="005738B8" w14:paraId="574EDF63"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738B8" w:rsidP="005738B8" w:rsidRDefault="005738B8" w14:paraId="07DCD04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rsidR="005738B8" w:rsidP="005738B8" w:rsidRDefault="005738B8" w14:paraId="3D2E07A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738B8" w:rsidP="005738B8" w:rsidRDefault="005738B8" w14:paraId="36E09C8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rsidR="005738B8" w:rsidP="005738B8" w:rsidRDefault="005738B8" w14:paraId="61E2629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0E1620DE" w14:textId="77777777">
        <w:trPr>
          <w:trHeight w:val="1417"/>
        </w:trPr>
        <w:tc>
          <w:tcPr>
            <w:cnfStyle w:val="001000000000" w:firstRow="0" w:lastRow="0" w:firstColumn="1" w:lastColumn="0" w:oddVBand="0" w:evenVBand="0" w:oddHBand="0" w:evenHBand="0" w:firstRowFirstColumn="0" w:firstRowLastColumn="0" w:lastRowFirstColumn="0" w:lastRowLastColumn="0"/>
            <w:tcW w:w="1717" w:type="dxa"/>
          </w:tcPr>
          <w:p w:rsidR="00C71C24" w:rsidP="00A82FE5" w:rsidRDefault="00C71C24" w14:paraId="130D4CC6" w14:textId="77777777">
            <w:pPr>
              <w:jc w:val="both"/>
              <w:rPr>
                <w:sz w:val="24"/>
                <w:szCs w:val="24"/>
              </w:rPr>
            </w:pPr>
          </w:p>
        </w:tc>
        <w:tc>
          <w:tcPr>
            <w:tcW w:w="1599" w:type="dxa"/>
          </w:tcPr>
          <w:p w:rsidR="00C71C24" w:rsidP="00A82FE5" w:rsidRDefault="00C71C24" w14:paraId="00470FC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rsidR="00C71C24" w:rsidP="00A82FE5" w:rsidRDefault="00C71C24" w14:paraId="4135734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rsidR="00C71C24" w:rsidP="00A82FE5" w:rsidRDefault="00C71C24" w14:paraId="3A943BC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rsidR="00C71C24" w:rsidP="00A82FE5" w:rsidRDefault="00C71C24" w14:paraId="63C6AA2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rsidR="00C71C24" w:rsidP="00A82FE5" w:rsidRDefault="00C71C24" w14:paraId="577B222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rsidR="00C71C24" w:rsidP="00A82FE5" w:rsidRDefault="00C71C24" w14:paraId="29D995D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rsidR="00C71C24" w:rsidP="00A82FE5" w:rsidRDefault="00C71C24" w14:paraId="1B56665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C71C24" w:rsidP="00A82FE5" w:rsidRDefault="00C71C24" w14:paraId="5CA126D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rsidR="00C71C24" w:rsidP="00A82FE5" w:rsidRDefault="00C71C24" w14:paraId="2D5CF7E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C71C24" w:rsidP="00A82FE5" w:rsidRDefault="00C71C24" w14:paraId="629E356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rsidR="00C71C24" w:rsidP="00A82FE5" w:rsidRDefault="00C71C24" w14:paraId="6A74636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43E13EED" w14:textId="77777777">
        <w:trPr>
          <w:trHeight w:val="1609"/>
        </w:trPr>
        <w:tc>
          <w:tcPr>
            <w:cnfStyle w:val="001000000000" w:firstRow="0" w:lastRow="0" w:firstColumn="1" w:lastColumn="0" w:oddVBand="0" w:evenVBand="0" w:oddHBand="0" w:evenHBand="0" w:firstRowFirstColumn="0" w:firstRowLastColumn="0" w:lastRowFirstColumn="0" w:lastRowLastColumn="0"/>
            <w:tcW w:w="1717" w:type="dxa"/>
          </w:tcPr>
          <w:p w:rsidR="00C71C24" w:rsidP="00A82FE5" w:rsidRDefault="00C71C24" w14:paraId="01F78BD7" w14:textId="77777777">
            <w:pPr>
              <w:jc w:val="both"/>
              <w:rPr>
                <w:sz w:val="24"/>
                <w:szCs w:val="24"/>
              </w:rPr>
            </w:pPr>
          </w:p>
        </w:tc>
        <w:tc>
          <w:tcPr>
            <w:tcW w:w="1599" w:type="dxa"/>
          </w:tcPr>
          <w:p w:rsidR="00C71C24" w:rsidP="00A82FE5" w:rsidRDefault="00C71C24" w14:paraId="10BC6A8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rsidR="00C71C24" w:rsidP="00A82FE5" w:rsidRDefault="00C71C24" w14:paraId="274EC7E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rsidR="00C71C24" w:rsidP="00A82FE5" w:rsidRDefault="00C71C24" w14:paraId="1458E9F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rsidR="00C71C24" w:rsidP="00A82FE5" w:rsidRDefault="00C71C24" w14:paraId="3214E09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rsidR="00C71C24" w:rsidP="00A82FE5" w:rsidRDefault="00C71C24" w14:paraId="65F96A6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rsidR="00C71C24" w:rsidP="00A82FE5" w:rsidRDefault="00C71C24" w14:paraId="2C73F84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rsidR="00C71C24" w:rsidP="00A82FE5" w:rsidRDefault="00C71C24" w14:paraId="780906E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C71C24" w:rsidP="00A82FE5" w:rsidRDefault="00C71C24" w14:paraId="0D5B75F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rsidR="00C71C24" w:rsidP="00A82FE5" w:rsidRDefault="00C71C24" w14:paraId="08CA0DE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C71C24" w:rsidP="00A82FE5" w:rsidRDefault="00C71C24" w14:paraId="4A842A1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rsidR="00C71C24" w:rsidP="00A82FE5" w:rsidRDefault="00C71C24" w14:paraId="4B4F7FA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6AF39A77" w14:textId="77777777">
        <w:trPr>
          <w:trHeight w:val="1246"/>
        </w:trPr>
        <w:tc>
          <w:tcPr>
            <w:cnfStyle w:val="001000000000" w:firstRow="0" w:lastRow="0" w:firstColumn="1" w:lastColumn="0" w:oddVBand="0" w:evenVBand="0" w:oddHBand="0" w:evenHBand="0" w:firstRowFirstColumn="0" w:firstRowLastColumn="0" w:lastRowFirstColumn="0" w:lastRowLastColumn="0"/>
            <w:tcW w:w="1717" w:type="dxa"/>
          </w:tcPr>
          <w:p w:rsidR="00C71C24" w:rsidP="00A82FE5" w:rsidRDefault="00C71C24" w14:paraId="3337DD58" w14:textId="77777777">
            <w:pPr>
              <w:jc w:val="both"/>
              <w:rPr>
                <w:sz w:val="24"/>
                <w:szCs w:val="24"/>
              </w:rPr>
            </w:pPr>
          </w:p>
        </w:tc>
        <w:tc>
          <w:tcPr>
            <w:tcW w:w="1599" w:type="dxa"/>
          </w:tcPr>
          <w:p w:rsidR="00C71C24" w:rsidP="00A82FE5" w:rsidRDefault="00C71C24" w14:paraId="01334B3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rsidR="00C71C24" w:rsidP="00A82FE5" w:rsidRDefault="00C71C24" w14:paraId="27DA4DE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rsidR="00C71C24" w:rsidP="00A82FE5" w:rsidRDefault="00C71C24" w14:paraId="7CEC9D7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rsidR="00C71C24" w:rsidP="00A82FE5" w:rsidRDefault="00C71C24" w14:paraId="1C60F8A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rsidR="00C71C24" w:rsidP="00A82FE5" w:rsidRDefault="00C71C24" w14:paraId="4F3076B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rsidR="00C71C24" w:rsidP="00A82FE5" w:rsidRDefault="00C71C24" w14:paraId="11460B1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rsidR="00C71C24" w:rsidP="00A82FE5" w:rsidRDefault="00C71C24" w14:paraId="472534D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C71C24" w:rsidP="00A82FE5" w:rsidRDefault="00C71C24" w14:paraId="79683B9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rsidR="00C71C24" w:rsidP="00A82FE5" w:rsidRDefault="00C71C24" w14:paraId="2EC3383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C71C24" w:rsidP="00A82FE5" w:rsidRDefault="00C71C24" w14:paraId="12509BE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rsidR="00C71C24" w:rsidP="00A82FE5" w:rsidRDefault="00C71C24" w14:paraId="3978D0E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5D470A" w:rsidP="00C71C24" w:rsidRDefault="005D470A" w14:paraId="2695A5A8" w14:textId="5600D314">
      <w:pPr>
        <w:jc w:val="both"/>
        <w:rPr>
          <w:sz w:val="24"/>
          <w:szCs w:val="24"/>
        </w:rPr>
      </w:pPr>
    </w:p>
    <w:tbl>
      <w:tblPr>
        <w:tblStyle w:val="GridTable1Light-Accent1"/>
        <w:tblW w:w="15300" w:type="dxa"/>
        <w:tblInd w:w="-365" w:type="dxa"/>
        <w:tblLook w:val="04A0" w:firstRow="1" w:lastRow="0" w:firstColumn="1" w:lastColumn="0" w:noHBand="0" w:noVBand="1"/>
      </w:tblPr>
      <w:tblGrid>
        <w:gridCol w:w="1602"/>
        <w:gridCol w:w="1606"/>
        <w:gridCol w:w="1424"/>
        <w:gridCol w:w="2437"/>
        <w:gridCol w:w="1407"/>
        <w:gridCol w:w="1423"/>
        <w:gridCol w:w="891"/>
        <w:gridCol w:w="891"/>
        <w:gridCol w:w="768"/>
        <w:gridCol w:w="768"/>
        <w:gridCol w:w="1076"/>
        <w:gridCol w:w="1007"/>
      </w:tblGrid>
      <w:tr w:rsidRPr="00F62CB7" w:rsidR="005D470A" w:rsidTr="00111FED" w14:paraId="4B45B32C"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300" w:type="dxa"/>
            <w:gridSpan w:val="12"/>
          </w:tcPr>
          <w:p w:rsidRPr="00F62CB7" w:rsidR="005D470A" w:rsidP="00112BBF" w:rsidRDefault="005D470A" w14:paraId="5CEAB5A6" w14:textId="77777777">
            <w:pPr>
              <w:jc w:val="center"/>
              <w:rPr>
                <w:b w:val="0"/>
                <w:bCs w:val="0"/>
                <w:sz w:val="22"/>
                <w:szCs w:val="22"/>
              </w:rPr>
            </w:pPr>
          </w:p>
          <w:p w:rsidRPr="00EC2B0C" w:rsidR="005D470A" w:rsidP="00112BBF" w:rsidRDefault="005D470A" w14:paraId="3347778C" w14:textId="2EC1DB99">
            <w:pPr>
              <w:jc w:val="center"/>
              <w:rPr>
                <w:b w:val="0"/>
                <w:bCs w:val="0"/>
              </w:rPr>
            </w:pPr>
            <w:r w:rsidRPr="00EC2B0C">
              <w:t xml:space="preserve">PILLAR </w:t>
            </w:r>
            <w:r>
              <w:t>2</w:t>
            </w:r>
            <w:r w:rsidRPr="00EC2B0C">
              <w:t xml:space="preserve">: </w:t>
            </w:r>
            <w:r w:rsidRPr="005D470A">
              <w:t>DETECTION, OBSERVATION, MONITORING, ANALYSIS AND FORECASTING OF HAZARDS</w:t>
            </w:r>
          </w:p>
          <w:p w:rsidRPr="00F62CB7" w:rsidR="005D470A" w:rsidP="00112BBF" w:rsidRDefault="005D470A" w14:paraId="57C21252" w14:textId="77777777">
            <w:pPr>
              <w:jc w:val="center"/>
              <w:rPr>
                <w:sz w:val="22"/>
                <w:szCs w:val="22"/>
              </w:rPr>
            </w:pPr>
          </w:p>
        </w:tc>
      </w:tr>
      <w:tr w:rsidRPr="00F62CB7" w:rsidR="00111FED" w:rsidTr="00332ABF" w14:paraId="443C5548" w14:textId="77777777">
        <w:trPr>
          <w:trHeight w:val="499"/>
        </w:trPr>
        <w:tc>
          <w:tcPr>
            <w:cnfStyle w:val="001000000000" w:firstRow="0" w:lastRow="0" w:firstColumn="1" w:lastColumn="0" w:oddVBand="0" w:evenVBand="0" w:oddHBand="0" w:evenHBand="0" w:firstRowFirstColumn="0" w:firstRowLastColumn="0" w:lastRowFirstColumn="0" w:lastRowLastColumn="0"/>
            <w:tcW w:w="1612" w:type="dxa"/>
            <w:vMerge w:val="restart"/>
            <w:vAlign w:val="center"/>
          </w:tcPr>
          <w:p w:rsidRPr="00F62CB7" w:rsidR="005D470A" w:rsidP="00332ABF" w:rsidRDefault="005D470A" w14:paraId="4BF78197" w14:textId="77777777">
            <w:pPr>
              <w:spacing w:after="360"/>
              <w:jc w:val="center"/>
              <w:rPr>
                <w:sz w:val="22"/>
                <w:szCs w:val="22"/>
              </w:rPr>
            </w:pPr>
            <w:r w:rsidRPr="00F62CB7">
              <w:rPr>
                <w:sz w:val="22"/>
                <w:szCs w:val="22"/>
              </w:rPr>
              <w:t>Gap Identified</w:t>
            </w:r>
          </w:p>
        </w:tc>
        <w:tc>
          <w:tcPr>
            <w:tcW w:w="1614" w:type="dxa"/>
            <w:vMerge w:val="restart"/>
            <w:vAlign w:val="center"/>
          </w:tcPr>
          <w:p w:rsidRPr="00F62CB7" w:rsidR="005D470A" w:rsidP="00332ABF" w:rsidRDefault="00180247" w14:paraId="71335931" w14:textId="337E4964">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Associated</w:t>
            </w:r>
            <w:r w:rsidRPr="00F62CB7" w:rsidR="005D470A">
              <w:rPr>
                <w:b/>
                <w:bCs/>
                <w:sz w:val="22"/>
                <w:szCs w:val="22"/>
              </w:rPr>
              <w:t xml:space="preserve"> Output</w:t>
            </w:r>
          </w:p>
        </w:tc>
        <w:tc>
          <w:tcPr>
            <w:tcW w:w="1432" w:type="dxa"/>
            <w:vMerge w:val="restart"/>
            <w:vAlign w:val="center"/>
          </w:tcPr>
          <w:p w:rsidRPr="00F62CB7" w:rsidR="005D470A" w:rsidP="00332ABF" w:rsidRDefault="005D470A" w14:paraId="59F196C0"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Output indicator</w:t>
            </w:r>
          </w:p>
        </w:tc>
        <w:tc>
          <w:tcPr>
            <w:tcW w:w="2481" w:type="dxa"/>
            <w:vMerge w:val="restart"/>
            <w:vAlign w:val="center"/>
          </w:tcPr>
          <w:p w:rsidRPr="00F62CB7" w:rsidR="005D470A" w:rsidP="00332ABF" w:rsidRDefault="005D470A" w14:paraId="24311799"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Activities</w:t>
            </w:r>
          </w:p>
        </w:tc>
        <w:tc>
          <w:tcPr>
            <w:tcW w:w="2857" w:type="dxa"/>
            <w:gridSpan w:val="2"/>
            <w:vAlign w:val="center"/>
          </w:tcPr>
          <w:p w:rsidRPr="00F62CB7" w:rsidR="005D470A" w:rsidP="00332ABF" w:rsidRDefault="005D470A" w14:paraId="0A6305E1"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Responsibility</w:t>
            </w:r>
          </w:p>
        </w:tc>
        <w:tc>
          <w:tcPr>
            <w:tcW w:w="3328" w:type="dxa"/>
            <w:gridSpan w:val="4"/>
            <w:vAlign w:val="center"/>
          </w:tcPr>
          <w:p w:rsidRPr="00F62CB7" w:rsidR="005D470A" w:rsidP="00332ABF" w:rsidRDefault="005D470A" w14:paraId="13E52C2F"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Implementation Timeline</w:t>
            </w:r>
          </w:p>
        </w:tc>
        <w:tc>
          <w:tcPr>
            <w:tcW w:w="1076" w:type="dxa"/>
            <w:vMerge w:val="restart"/>
            <w:vAlign w:val="center"/>
          </w:tcPr>
          <w:p w:rsidRPr="00F62CB7" w:rsidR="005D470A" w:rsidP="00332ABF" w:rsidRDefault="005D470A" w14:paraId="59DCB754"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USD / LCU</w:t>
            </w:r>
          </w:p>
        </w:tc>
        <w:tc>
          <w:tcPr>
            <w:tcW w:w="900" w:type="dxa"/>
            <w:vMerge w:val="restart"/>
            <w:vAlign w:val="center"/>
          </w:tcPr>
          <w:p w:rsidRPr="00F62CB7" w:rsidR="005D470A" w:rsidP="00332ABF" w:rsidRDefault="005D470A" w14:paraId="0371EA76"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Source</w:t>
            </w:r>
          </w:p>
        </w:tc>
      </w:tr>
      <w:tr w:rsidR="00111FED" w:rsidTr="00332ABF" w14:paraId="2C33FA02" w14:textId="77777777">
        <w:tc>
          <w:tcPr>
            <w:cnfStyle w:val="001000000000" w:firstRow="0" w:lastRow="0" w:firstColumn="1" w:lastColumn="0" w:oddVBand="0" w:evenVBand="0" w:oddHBand="0" w:evenHBand="0" w:firstRowFirstColumn="0" w:firstRowLastColumn="0" w:lastRowFirstColumn="0" w:lastRowLastColumn="0"/>
            <w:tcW w:w="1612" w:type="dxa"/>
            <w:vMerge/>
            <w:vAlign w:val="center"/>
          </w:tcPr>
          <w:p w:rsidR="005D470A" w:rsidP="00332ABF" w:rsidRDefault="005D470A" w14:paraId="59A08FA2" w14:textId="77777777">
            <w:pPr>
              <w:jc w:val="center"/>
              <w:rPr>
                <w:sz w:val="24"/>
                <w:szCs w:val="24"/>
              </w:rPr>
            </w:pPr>
          </w:p>
        </w:tc>
        <w:tc>
          <w:tcPr>
            <w:tcW w:w="1614" w:type="dxa"/>
            <w:vMerge/>
            <w:vAlign w:val="center"/>
          </w:tcPr>
          <w:p w:rsidR="005D470A" w:rsidP="00332ABF" w:rsidRDefault="005D470A" w14:paraId="7FB329F1"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vMerge/>
            <w:vAlign w:val="center"/>
          </w:tcPr>
          <w:p w:rsidR="005D470A" w:rsidP="00332ABF" w:rsidRDefault="005D470A" w14:paraId="175CF891"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481" w:type="dxa"/>
            <w:vMerge/>
            <w:vAlign w:val="center"/>
          </w:tcPr>
          <w:p w:rsidR="005D470A" w:rsidP="00332ABF" w:rsidRDefault="005D470A" w14:paraId="64B88972"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vAlign w:val="center"/>
          </w:tcPr>
          <w:p w:rsidRPr="00F62CB7" w:rsidR="005D470A" w:rsidP="00332ABF" w:rsidRDefault="005D470A" w14:paraId="167DD227"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Lead</w:t>
            </w:r>
          </w:p>
        </w:tc>
        <w:tc>
          <w:tcPr>
            <w:tcW w:w="1432" w:type="dxa"/>
            <w:vAlign w:val="center"/>
          </w:tcPr>
          <w:p w:rsidRPr="00F62CB7" w:rsidR="005D470A" w:rsidP="00332ABF" w:rsidRDefault="005D470A" w14:paraId="73F3DFAE"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Support</w:t>
            </w:r>
          </w:p>
        </w:tc>
        <w:tc>
          <w:tcPr>
            <w:tcW w:w="896" w:type="dxa"/>
            <w:vAlign w:val="center"/>
          </w:tcPr>
          <w:p w:rsidRPr="00F62CB7" w:rsidR="005D470A" w:rsidP="00332ABF" w:rsidRDefault="005D470A" w14:paraId="6DD91B48"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1</w:t>
            </w:r>
          </w:p>
        </w:tc>
        <w:tc>
          <w:tcPr>
            <w:tcW w:w="896" w:type="dxa"/>
            <w:vAlign w:val="center"/>
          </w:tcPr>
          <w:p w:rsidRPr="00F62CB7" w:rsidR="005D470A" w:rsidP="00332ABF" w:rsidRDefault="005D470A" w14:paraId="3CF889C6"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2</w:t>
            </w:r>
          </w:p>
        </w:tc>
        <w:tc>
          <w:tcPr>
            <w:tcW w:w="768" w:type="dxa"/>
            <w:vAlign w:val="center"/>
          </w:tcPr>
          <w:p w:rsidRPr="00F62CB7" w:rsidR="005D470A" w:rsidP="00332ABF" w:rsidRDefault="005D470A" w14:paraId="25CA4B12"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3</w:t>
            </w:r>
          </w:p>
        </w:tc>
        <w:tc>
          <w:tcPr>
            <w:tcW w:w="768" w:type="dxa"/>
            <w:vAlign w:val="center"/>
          </w:tcPr>
          <w:p w:rsidRPr="00F62CB7" w:rsidR="005D470A" w:rsidP="00332ABF" w:rsidRDefault="005D470A" w14:paraId="5CAEB8B8"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4</w:t>
            </w:r>
          </w:p>
        </w:tc>
        <w:tc>
          <w:tcPr>
            <w:tcW w:w="1076" w:type="dxa"/>
            <w:vMerge/>
            <w:vAlign w:val="center"/>
          </w:tcPr>
          <w:p w:rsidR="005D470A" w:rsidP="00332ABF" w:rsidRDefault="005D470A" w14:paraId="35F15A1D"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vMerge/>
            <w:vAlign w:val="center"/>
          </w:tcPr>
          <w:p w:rsidR="005D470A" w:rsidP="00332ABF" w:rsidRDefault="005D470A" w14:paraId="071ADA43"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Pr="00F62CB7" w:rsidR="00111FED" w:rsidTr="00332ABF" w14:paraId="39CEB3F7" w14:textId="77777777">
        <w:trPr>
          <w:trHeight w:val="740"/>
        </w:trPr>
        <w:tc>
          <w:tcPr>
            <w:cnfStyle w:val="001000000000" w:firstRow="0" w:lastRow="0" w:firstColumn="1" w:lastColumn="0" w:oddVBand="0" w:evenVBand="0" w:oddHBand="0" w:evenHBand="0" w:firstRowFirstColumn="0" w:firstRowLastColumn="0" w:lastRowFirstColumn="0" w:lastRowLastColumn="0"/>
            <w:tcW w:w="1612" w:type="dxa"/>
            <w:vMerge w:val="restart"/>
            <w:vAlign w:val="center"/>
          </w:tcPr>
          <w:p w:rsidRPr="002623C7" w:rsidR="005D470A" w:rsidP="00332ABF" w:rsidRDefault="005D470A" w14:paraId="610AE502" w14:textId="18D5E23E">
            <w:pPr>
              <w:jc w:val="center"/>
              <w:rPr>
                <w:b w:val="0"/>
                <w:bCs w:val="0"/>
                <w:i/>
                <w:iCs/>
                <w:sz w:val="20"/>
                <w:szCs w:val="20"/>
              </w:rPr>
            </w:pPr>
          </w:p>
        </w:tc>
        <w:tc>
          <w:tcPr>
            <w:tcW w:w="1614" w:type="dxa"/>
            <w:vMerge w:val="restart"/>
            <w:vAlign w:val="center"/>
          </w:tcPr>
          <w:p w:rsidRPr="002623C7" w:rsidR="005D470A" w:rsidP="00332ABF" w:rsidRDefault="005D470A" w14:paraId="7A006619" w14:textId="7252D234">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432" w:type="dxa"/>
            <w:vMerge w:val="restart"/>
            <w:vAlign w:val="center"/>
          </w:tcPr>
          <w:p w:rsidRPr="002623C7" w:rsidR="005D470A" w:rsidP="00332ABF" w:rsidRDefault="005D470A" w14:paraId="7C59CE41" w14:textId="6E56FB64">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2481" w:type="dxa"/>
            <w:vAlign w:val="center"/>
          </w:tcPr>
          <w:p w:rsidRPr="00112BBF" w:rsidR="005D470A" w:rsidP="00332ABF" w:rsidRDefault="005D470A" w14:paraId="1C4A9983" w14:textId="19F717C1">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425" w:type="dxa"/>
            <w:vAlign w:val="center"/>
          </w:tcPr>
          <w:p w:rsidRPr="002623C7" w:rsidR="005D470A" w:rsidP="00332ABF" w:rsidRDefault="005D470A" w14:paraId="74F000D7"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432" w:type="dxa"/>
            <w:vAlign w:val="center"/>
          </w:tcPr>
          <w:p w:rsidRPr="002623C7" w:rsidR="005D470A" w:rsidP="00332ABF" w:rsidRDefault="005D470A" w14:paraId="365D3889"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896" w:type="dxa"/>
            <w:vAlign w:val="center"/>
          </w:tcPr>
          <w:p w:rsidRPr="002623C7" w:rsidR="005D470A" w:rsidP="00332ABF" w:rsidRDefault="005D470A" w14:paraId="314EA022"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896" w:type="dxa"/>
            <w:vAlign w:val="center"/>
          </w:tcPr>
          <w:p w:rsidRPr="002623C7" w:rsidR="005D470A" w:rsidP="00332ABF" w:rsidRDefault="005D470A" w14:paraId="30621351"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vAlign w:val="center"/>
          </w:tcPr>
          <w:p w:rsidRPr="002623C7" w:rsidR="005D470A" w:rsidP="00332ABF" w:rsidRDefault="005D470A" w14:paraId="3D8BD189"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vAlign w:val="center"/>
          </w:tcPr>
          <w:p w:rsidRPr="002623C7" w:rsidR="005D470A" w:rsidP="00332ABF" w:rsidRDefault="005D470A" w14:paraId="37F236B5"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vAlign w:val="center"/>
          </w:tcPr>
          <w:p w:rsidRPr="002623C7" w:rsidR="005D470A" w:rsidP="00332ABF" w:rsidRDefault="005D470A" w14:paraId="62299199"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900" w:type="dxa"/>
            <w:vAlign w:val="center"/>
          </w:tcPr>
          <w:p w:rsidRPr="002623C7" w:rsidR="005D470A" w:rsidP="00332ABF" w:rsidRDefault="005D470A" w14:paraId="6FC37E3C"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111FED" w:rsidTr="00111FED" w14:paraId="0547EB7F" w14:textId="77777777">
        <w:trPr>
          <w:trHeight w:val="1077"/>
        </w:trPr>
        <w:tc>
          <w:tcPr>
            <w:cnfStyle w:val="001000000000" w:firstRow="0" w:lastRow="0" w:firstColumn="1" w:lastColumn="0" w:oddVBand="0" w:evenVBand="0" w:oddHBand="0" w:evenHBand="0" w:firstRowFirstColumn="0" w:firstRowLastColumn="0" w:lastRowFirstColumn="0" w:lastRowLastColumn="0"/>
            <w:tcW w:w="1612" w:type="dxa"/>
            <w:vMerge/>
          </w:tcPr>
          <w:p w:rsidRPr="002623C7" w:rsidR="005D470A" w:rsidP="00A82FE5" w:rsidRDefault="005D470A" w14:paraId="49DAE16C" w14:textId="77777777">
            <w:pPr>
              <w:rPr>
                <w:i/>
                <w:iCs/>
                <w:sz w:val="24"/>
                <w:szCs w:val="24"/>
              </w:rPr>
            </w:pPr>
          </w:p>
        </w:tc>
        <w:tc>
          <w:tcPr>
            <w:tcW w:w="1614" w:type="dxa"/>
            <w:vMerge/>
          </w:tcPr>
          <w:p w:rsidRPr="002623C7" w:rsidR="005D470A" w:rsidP="00A82FE5" w:rsidRDefault="005D470A" w14:paraId="6D06CC24"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432" w:type="dxa"/>
            <w:vMerge/>
          </w:tcPr>
          <w:p w:rsidRPr="002623C7" w:rsidR="005D470A" w:rsidP="00A82FE5" w:rsidRDefault="005D470A" w14:paraId="38D26E19"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481" w:type="dxa"/>
          </w:tcPr>
          <w:p w:rsidRPr="002623C7" w:rsidR="005D470A" w:rsidP="00112BBF" w:rsidRDefault="005D470A" w14:paraId="72DF3243" w14:textId="77777777">
            <w:pPr>
              <w:pStyle w:val="ListParagraph"/>
              <w:ind w:left="360"/>
              <w:cnfStyle w:val="000000000000" w:firstRow="0" w:lastRow="0" w:firstColumn="0" w:lastColumn="0" w:oddVBand="0" w:evenVBand="0" w:oddHBand="0" w:evenHBand="0" w:firstRowFirstColumn="0" w:firstRowLastColumn="0" w:lastRowFirstColumn="0" w:lastRowLastColumn="0"/>
              <w:rPr>
                <w:i/>
                <w:iCs/>
                <w:sz w:val="20"/>
                <w:szCs w:val="20"/>
              </w:rPr>
            </w:pPr>
          </w:p>
        </w:tc>
        <w:tc>
          <w:tcPr>
            <w:tcW w:w="1425" w:type="dxa"/>
          </w:tcPr>
          <w:p w:rsidRPr="002623C7" w:rsidR="005D470A" w:rsidP="00A82FE5" w:rsidRDefault="005D470A" w14:paraId="77983823"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432" w:type="dxa"/>
          </w:tcPr>
          <w:p w:rsidRPr="002623C7" w:rsidR="005D470A" w:rsidP="00A82FE5" w:rsidRDefault="005D470A" w14:paraId="25AE840A"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896" w:type="dxa"/>
          </w:tcPr>
          <w:p w:rsidRPr="002623C7" w:rsidR="005D470A" w:rsidP="00A82FE5" w:rsidRDefault="005D470A" w14:paraId="330C27B6"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896" w:type="dxa"/>
          </w:tcPr>
          <w:p w:rsidRPr="002623C7" w:rsidR="005D470A" w:rsidP="00A82FE5" w:rsidRDefault="005D470A" w14:paraId="745C2DCE"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5D470A" w:rsidP="00A82FE5" w:rsidRDefault="005D470A" w14:paraId="0F563CFD"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5D470A" w:rsidP="00A82FE5" w:rsidRDefault="005D470A" w14:paraId="7A6E60D7"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5D470A" w:rsidP="00A82FE5" w:rsidRDefault="005D470A" w14:paraId="77861B60"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900" w:type="dxa"/>
          </w:tcPr>
          <w:p w:rsidRPr="002623C7" w:rsidR="005D470A" w:rsidP="00A82FE5" w:rsidRDefault="005D470A" w14:paraId="6ED53B11"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111FED" w:rsidTr="00111FED" w14:paraId="561A5198" w14:textId="77777777">
        <w:trPr>
          <w:trHeight w:val="974"/>
        </w:trPr>
        <w:tc>
          <w:tcPr>
            <w:cnfStyle w:val="001000000000" w:firstRow="0" w:lastRow="0" w:firstColumn="1" w:lastColumn="0" w:oddVBand="0" w:evenVBand="0" w:oddHBand="0" w:evenHBand="0" w:firstRowFirstColumn="0" w:firstRowLastColumn="0" w:lastRowFirstColumn="0" w:lastRowLastColumn="0"/>
            <w:tcW w:w="1612" w:type="dxa"/>
            <w:vMerge/>
          </w:tcPr>
          <w:p w:rsidRPr="002623C7" w:rsidR="005D470A" w:rsidP="00A82FE5" w:rsidRDefault="005D470A" w14:paraId="33222567" w14:textId="77777777">
            <w:pPr>
              <w:rPr>
                <w:i/>
                <w:iCs/>
                <w:sz w:val="24"/>
                <w:szCs w:val="24"/>
              </w:rPr>
            </w:pPr>
          </w:p>
        </w:tc>
        <w:tc>
          <w:tcPr>
            <w:tcW w:w="1614" w:type="dxa"/>
            <w:vMerge/>
          </w:tcPr>
          <w:p w:rsidRPr="002623C7" w:rsidR="005D470A" w:rsidP="00A82FE5" w:rsidRDefault="005D470A" w14:paraId="4001B816"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432" w:type="dxa"/>
            <w:vMerge/>
          </w:tcPr>
          <w:p w:rsidRPr="002623C7" w:rsidR="005D470A" w:rsidP="00A82FE5" w:rsidRDefault="005D470A" w14:paraId="1CFFEB67"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481" w:type="dxa"/>
          </w:tcPr>
          <w:p w:rsidRPr="00112BBF" w:rsidR="005D470A" w:rsidP="00112BBF" w:rsidRDefault="005D470A" w14:paraId="20F685DE" w14:textId="60FCE2A8">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425" w:type="dxa"/>
          </w:tcPr>
          <w:p w:rsidRPr="002623C7" w:rsidR="005D470A" w:rsidP="00A82FE5" w:rsidRDefault="005D470A" w14:paraId="2C7A5903"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432" w:type="dxa"/>
          </w:tcPr>
          <w:p w:rsidRPr="002623C7" w:rsidR="005D470A" w:rsidP="00A82FE5" w:rsidRDefault="005D470A" w14:paraId="6CB586E1"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96" w:type="dxa"/>
          </w:tcPr>
          <w:p w:rsidRPr="002623C7" w:rsidR="005D470A" w:rsidP="00A82FE5" w:rsidRDefault="005D470A" w14:paraId="0B0447D3"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96" w:type="dxa"/>
          </w:tcPr>
          <w:p w:rsidRPr="002623C7" w:rsidR="005D470A" w:rsidP="00A82FE5" w:rsidRDefault="005D470A" w14:paraId="3E441449"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5D470A" w:rsidP="00A82FE5" w:rsidRDefault="005D470A" w14:paraId="54CB1BEB"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5D470A" w:rsidP="00A82FE5" w:rsidRDefault="005D470A" w14:paraId="0EFAF9B0"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5D470A" w:rsidP="00A82FE5" w:rsidRDefault="005D470A" w14:paraId="4D499D51"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900" w:type="dxa"/>
          </w:tcPr>
          <w:p w:rsidRPr="002623C7" w:rsidR="005D470A" w:rsidP="00A82FE5" w:rsidRDefault="005D470A" w14:paraId="1C25181A"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111FED" w:rsidTr="00111FED" w14:paraId="6EAD2C92" w14:textId="77777777">
        <w:trPr>
          <w:trHeight w:val="1433"/>
        </w:trPr>
        <w:tc>
          <w:tcPr>
            <w:cnfStyle w:val="001000000000" w:firstRow="0" w:lastRow="0" w:firstColumn="1" w:lastColumn="0" w:oddVBand="0" w:evenVBand="0" w:oddHBand="0" w:evenHBand="0" w:firstRowFirstColumn="0" w:firstRowLastColumn="0" w:lastRowFirstColumn="0" w:lastRowLastColumn="0"/>
            <w:tcW w:w="1612" w:type="dxa"/>
          </w:tcPr>
          <w:p w:rsidR="005D470A" w:rsidP="00A82FE5" w:rsidRDefault="005D470A" w14:paraId="4AB91E3E" w14:textId="77777777">
            <w:pPr>
              <w:jc w:val="both"/>
              <w:rPr>
                <w:sz w:val="24"/>
                <w:szCs w:val="24"/>
              </w:rPr>
            </w:pPr>
          </w:p>
        </w:tc>
        <w:tc>
          <w:tcPr>
            <w:tcW w:w="1614" w:type="dxa"/>
          </w:tcPr>
          <w:p w:rsidR="005D470A" w:rsidP="00A82FE5" w:rsidRDefault="005D470A" w14:paraId="3ACA0B3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741C020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481" w:type="dxa"/>
          </w:tcPr>
          <w:p w:rsidR="005D470A" w:rsidP="00A82FE5" w:rsidRDefault="005D470A" w14:paraId="7186E5B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rsidR="005D470A" w:rsidP="00A82FE5" w:rsidRDefault="005D470A" w14:paraId="5F2689A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647B70C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6EA198F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487546E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562E787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4FD057E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D470A" w:rsidP="00A82FE5" w:rsidRDefault="005D470A" w14:paraId="06CA121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rsidR="005D470A" w:rsidP="00A82FE5" w:rsidRDefault="005D470A" w14:paraId="1125B56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7724F147" w14:textId="77777777">
        <w:trPr>
          <w:trHeight w:val="1377"/>
        </w:trPr>
        <w:tc>
          <w:tcPr>
            <w:cnfStyle w:val="001000000000" w:firstRow="0" w:lastRow="0" w:firstColumn="1" w:lastColumn="0" w:oddVBand="0" w:evenVBand="0" w:oddHBand="0" w:evenHBand="0" w:firstRowFirstColumn="0" w:firstRowLastColumn="0" w:lastRowFirstColumn="0" w:lastRowLastColumn="0"/>
            <w:tcW w:w="1612" w:type="dxa"/>
          </w:tcPr>
          <w:p w:rsidR="005D470A" w:rsidP="00A82FE5" w:rsidRDefault="005D470A" w14:paraId="0493DC6C" w14:textId="77777777">
            <w:pPr>
              <w:jc w:val="both"/>
              <w:rPr>
                <w:sz w:val="24"/>
                <w:szCs w:val="24"/>
              </w:rPr>
            </w:pPr>
          </w:p>
        </w:tc>
        <w:tc>
          <w:tcPr>
            <w:tcW w:w="1614" w:type="dxa"/>
          </w:tcPr>
          <w:p w:rsidR="005D470A" w:rsidP="00A82FE5" w:rsidRDefault="005D470A" w14:paraId="377BC69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227F7BC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481" w:type="dxa"/>
          </w:tcPr>
          <w:p w:rsidR="005D470A" w:rsidP="00A82FE5" w:rsidRDefault="005D470A" w14:paraId="0FBB8B9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rsidR="005D470A" w:rsidP="00A82FE5" w:rsidRDefault="005D470A" w14:paraId="28E69F4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32786F6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5157C19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2EAB075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724558A3"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696662B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D470A" w:rsidP="00A82FE5" w:rsidRDefault="005D470A" w14:paraId="17E6104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rsidR="005D470A" w:rsidP="00A82FE5" w:rsidRDefault="005D470A" w14:paraId="700B28B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6F131DFD" w14:textId="77777777">
        <w:trPr>
          <w:trHeight w:val="1417"/>
        </w:trPr>
        <w:tc>
          <w:tcPr>
            <w:cnfStyle w:val="001000000000" w:firstRow="0" w:lastRow="0" w:firstColumn="1" w:lastColumn="0" w:oddVBand="0" w:evenVBand="0" w:oddHBand="0" w:evenHBand="0" w:firstRowFirstColumn="0" w:firstRowLastColumn="0" w:lastRowFirstColumn="0" w:lastRowLastColumn="0"/>
            <w:tcW w:w="1612" w:type="dxa"/>
          </w:tcPr>
          <w:p w:rsidR="005D470A" w:rsidP="00A82FE5" w:rsidRDefault="005D470A" w14:paraId="5F492F0C" w14:textId="77777777">
            <w:pPr>
              <w:jc w:val="both"/>
              <w:rPr>
                <w:sz w:val="24"/>
                <w:szCs w:val="24"/>
              </w:rPr>
            </w:pPr>
          </w:p>
        </w:tc>
        <w:tc>
          <w:tcPr>
            <w:tcW w:w="1614" w:type="dxa"/>
          </w:tcPr>
          <w:p w:rsidR="005D470A" w:rsidP="00A82FE5" w:rsidRDefault="005D470A" w14:paraId="159EBBC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059566C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481" w:type="dxa"/>
          </w:tcPr>
          <w:p w:rsidR="005D470A" w:rsidP="00A82FE5" w:rsidRDefault="005D470A" w14:paraId="4F95AD33"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rsidR="005D470A" w:rsidP="00A82FE5" w:rsidRDefault="005D470A" w14:paraId="3C22587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0CA9A0E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628DC00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730D137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57B112F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3F31CAC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D470A" w:rsidP="00A82FE5" w:rsidRDefault="005D470A" w14:paraId="743CF27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rsidR="005D470A" w:rsidP="00A82FE5" w:rsidRDefault="005D470A" w14:paraId="612F4FB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2A02646A" w14:textId="77777777">
        <w:trPr>
          <w:trHeight w:val="1609"/>
        </w:trPr>
        <w:tc>
          <w:tcPr>
            <w:cnfStyle w:val="001000000000" w:firstRow="0" w:lastRow="0" w:firstColumn="1" w:lastColumn="0" w:oddVBand="0" w:evenVBand="0" w:oddHBand="0" w:evenHBand="0" w:firstRowFirstColumn="0" w:firstRowLastColumn="0" w:lastRowFirstColumn="0" w:lastRowLastColumn="0"/>
            <w:tcW w:w="1612" w:type="dxa"/>
          </w:tcPr>
          <w:p w:rsidR="005D470A" w:rsidP="00A82FE5" w:rsidRDefault="005D470A" w14:paraId="4B725750" w14:textId="77777777">
            <w:pPr>
              <w:jc w:val="both"/>
              <w:rPr>
                <w:sz w:val="24"/>
                <w:szCs w:val="24"/>
              </w:rPr>
            </w:pPr>
          </w:p>
        </w:tc>
        <w:tc>
          <w:tcPr>
            <w:tcW w:w="1614" w:type="dxa"/>
          </w:tcPr>
          <w:p w:rsidR="005D470A" w:rsidP="00A82FE5" w:rsidRDefault="005D470A" w14:paraId="7C8C812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3544E23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481" w:type="dxa"/>
          </w:tcPr>
          <w:p w:rsidR="005D470A" w:rsidP="00A82FE5" w:rsidRDefault="005D470A" w14:paraId="2EA6E81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rsidR="005D470A" w:rsidP="00A82FE5" w:rsidRDefault="005D470A" w14:paraId="5422963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4DE9B05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191EFD2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54E3A60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3C66207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34F8EDC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D470A" w:rsidP="00A82FE5" w:rsidRDefault="005D470A" w14:paraId="4CC6654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rsidR="005D470A" w:rsidP="00A82FE5" w:rsidRDefault="005D470A" w14:paraId="7229006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111FED" w14:paraId="29C37878" w14:textId="77777777">
        <w:trPr>
          <w:trHeight w:val="1246"/>
        </w:trPr>
        <w:tc>
          <w:tcPr>
            <w:cnfStyle w:val="001000000000" w:firstRow="0" w:lastRow="0" w:firstColumn="1" w:lastColumn="0" w:oddVBand="0" w:evenVBand="0" w:oddHBand="0" w:evenHBand="0" w:firstRowFirstColumn="0" w:firstRowLastColumn="0" w:lastRowFirstColumn="0" w:lastRowLastColumn="0"/>
            <w:tcW w:w="1612" w:type="dxa"/>
          </w:tcPr>
          <w:p w:rsidR="005D470A" w:rsidP="00A82FE5" w:rsidRDefault="005D470A" w14:paraId="38D2F214" w14:textId="77777777">
            <w:pPr>
              <w:jc w:val="both"/>
              <w:rPr>
                <w:sz w:val="24"/>
                <w:szCs w:val="24"/>
              </w:rPr>
            </w:pPr>
          </w:p>
        </w:tc>
        <w:tc>
          <w:tcPr>
            <w:tcW w:w="1614" w:type="dxa"/>
          </w:tcPr>
          <w:p w:rsidR="005D470A" w:rsidP="00A82FE5" w:rsidRDefault="005D470A" w14:paraId="0F9DAC4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2EE5FBE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481" w:type="dxa"/>
          </w:tcPr>
          <w:p w:rsidR="005D470A" w:rsidP="00A82FE5" w:rsidRDefault="005D470A" w14:paraId="47FE836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rsidR="005D470A" w:rsidP="00A82FE5" w:rsidRDefault="005D470A" w14:paraId="0A04954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32" w:type="dxa"/>
          </w:tcPr>
          <w:p w:rsidR="005D470A" w:rsidP="00A82FE5" w:rsidRDefault="005D470A" w14:paraId="6CDFDD3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6335B28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96" w:type="dxa"/>
          </w:tcPr>
          <w:p w:rsidR="005D470A" w:rsidP="00A82FE5" w:rsidRDefault="005D470A" w14:paraId="1E0F16D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43EC5DF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5D470A" w:rsidP="00A82FE5" w:rsidRDefault="005D470A" w14:paraId="5DDCE1F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5D470A" w:rsidP="00A82FE5" w:rsidRDefault="005D470A" w14:paraId="7DD5540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rsidR="005D470A" w:rsidP="00A82FE5" w:rsidRDefault="005D470A" w14:paraId="7C06BE6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5D470A" w:rsidP="00C71C24" w:rsidRDefault="005D470A" w14:paraId="46F5B795" w14:textId="5D9EB37F">
      <w:pPr>
        <w:jc w:val="both"/>
        <w:rPr>
          <w:sz w:val="24"/>
          <w:szCs w:val="24"/>
        </w:rPr>
      </w:pPr>
    </w:p>
    <w:p w:rsidR="00112BBF" w:rsidP="00C71C24" w:rsidRDefault="00112BBF" w14:paraId="2C58E681" w14:textId="77777777">
      <w:pPr>
        <w:jc w:val="both"/>
        <w:rPr>
          <w:sz w:val="24"/>
          <w:szCs w:val="24"/>
        </w:rPr>
      </w:pPr>
    </w:p>
    <w:tbl>
      <w:tblPr>
        <w:tblStyle w:val="GridTable1Light-Accent1"/>
        <w:tblW w:w="15840" w:type="dxa"/>
        <w:tblInd w:w="-725" w:type="dxa"/>
        <w:tblLook w:val="04A0" w:firstRow="1" w:lastRow="0" w:firstColumn="1" w:lastColumn="0" w:noHBand="0" w:noVBand="1"/>
      </w:tblPr>
      <w:tblGrid>
        <w:gridCol w:w="1522"/>
        <w:gridCol w:w="1706"/>
        <w:gridCol w:w="1963"/>
        <w:gridCol w:w="3201"/>
        <w:gridCol w:w="932"/>
        <w:gridCol w:w="1176"/>
        <w:gridCol w:w="768"/>
        <w:gridCol w:w="768"/>
        <w:gridCol w:w="768"/>
        <w:gridCol w:w="775"/>
        <w:gridCol w:w="1076"/>
        <w:gridCol w:w="1185"/>
      </w:tblGrid>
      <w:tr w:rsidRPr="00F62CB7" w:rsidR="005D470A" w:rsidTr="00BF6A04" w14:paraId="0204DF24"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840" w:type="dxa"/>
            <w:gridSpan w:val="12"/>
            <w:tcBorders>
              <w:top w:val="single" w:color="FFC000" w:sz="4" w:space="0"/>
              <w:left w:val="single" w:color="FFC000" w:sz="4" w:space="0"/>
              <w:right w:val="single" w:color="FFC000" w:sz="4" w:space="0"/>
            </w:tcBorders>
            <w:vAlign w:val="center"/>
          </w:tcPr>
          <w:p w:rsidRPr="00F62CB7" w:rsidR="005D470A" w:rsidP="00ED3CFD" w:rsidRDefault="005D470A" w14:paraId="096658DB" w14:textId="77777777">
            <w:pPr>
              <w:jc w:val="center"/>
              <w:rPr>
                <w:b w:val="0"/>
                <w:bCs w:val="0"/>
                <w:sz w:val="22"/>
                <w:szCs w:val="22"/>
              </w:rPr>
            </w:pPr>
          </w:p>
          <w:p w:rsidRPr="00EC2B0C" w:rsidR="005D470A" w:rsidP="00ED3CFD" w:rsidRDefault="005D470A" w14:paraId="366B729F" w14:textId="2F07A3D6">
            <w:pPr>
              <w:jc w:val="center"/>
              <w:rPr>
                <w:b w:val="0"/>
                <w:bCs w:val="0"/>
              </w:rPr>
            </w:pPr>
            <w:r w:rsidRPr="00EC2B0C">
              <w:t xml:space="preserve">PILLAR </w:t>
            </w:r>
            <w:r>
              <w:t>3</w:t>
            </w:r>
            <w:r w:rsidRPr="00EC2B0C" w:rsidR="00112BBF">
              <w:t xml:space="preserve">: </w:t>
            </w:r>
            <w:r w:rsidR="00112BBF">
              <w:t>WARNING DISSEMINATION AND COMMUNICATION</w:t>
            </w:r>
          </w:p>
          <w:p w:rsidRPr="00F62CB7" w:rsidR="005D470A" w:rsidP="00ED3CFD" w:rsidRDefault="005D470A" w14:paraId="531905EB" w14:textId="77777777">
            <w:pPr>
              <w:jc w:val="center"/>
              <w:rPr>
                <w:sz w:val="22"/>
                <w:szCs w:val="22"/>
              </w:rPr>
            </w:pPr>
          </w:p>
        </w:tc>
      </w:tr>
      <w:tr w:rsidRPr="00F62CB7" w:rsidR="005D470A" w:rsidTr="00111FED" w14:paraId="4197F2DC" w14:textId="77777777">
        <w:trPr>
          <w:trHeight w:val="465"/>
        </w:trPr>
        <w:tc>
          <w:tcPr>
            <w:cnfStyle w:val="001000000000" w:firstRow="0" w:lastRow="0" w:firstColumn="1" w:lastColumn="0" w:oddVBand="0" w:evenVBand="0" w:oddHBand="0" w:evenHBand="0" w:firstRowFirstColumn="0" w:firstRowLastColumn="0" w:lastRowFirstColumn="0" w:lastRowLastColumn="0"/>
            <w:tcW w:w="1522" w:type="dxa"/>
            <w:vMerge w:val="restart"/>
            <w:tcBorders>
              <w:top w:val="single" w:color="FFC000" w:sz="12" w:space="0"/>
              <w:left w:val="single" w:color="FFC000" w:sz="4" w:space="0"/>
              <w:right w:val="single" w:color="FFC000" w:sz="4" w:space="0"/>
            </w:tcBorders>
            <w:vAlign w:val="center"/>
          </w:tcPr>
          <w:p w:rsidRPr="00F62CB7" w:rsidR="005D470A" w:rsidP="00ED3CFD" w:rsidRDefault="005D470A" w14:paraId="0FF12898" w14:textId="77777777">
            <w:pPr>
              <w:spacing w:after="360"/>
              <w:jc w:val="center"/>
              <w:rPr>
                <w:sz w:val="22"/>
                <w:szCs w:val="22"/>
              </w:rPr>
            </w:pPr>
            <w:r w:rsidRPr="00F62CB7">
              <w:rPr>
                <w:sz w:val="22"/>
                <w:szCs w:val="22"/>
              </w:rPr>
              <w:t>Gap Identified</w:t>
            </w:r>
          </w:p>
        </w:tc>
        <w:tc>
          <w:tcPr>
            <w:tcW w:w="1706" w:type="dxa"/>
            <w:vMerge w:val="restart"/>
            <w:tcBorders>
              <w:top w:val="single" w:color="FFC000" w:sz="12" w:space="0"/>
              <w:left w:val="single" w:color="FFC000" w:sz="4" w:space="0"/>
              <w:right w:val="single" w:color="FFC000" w:sz="4" w:space="0"/>
            </w:tcBorders>
            <w:vAlign w:val="center"/>
          </w:tcPr>
          <w:p w:rsidRPr="00F62CB7" w:rsidR="005D470A" w:rsidP="00ED3CFD" w:rsidRDefault="00180247" w14:paraId="31AF11C2" w14:textId="5B5C6B1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Associated</w:t>
            </w:r>
            <w:r w:rsidRPr="00F62CB7">
              <w:rPr>
                <w:b/>
                <w:bCs/>
                <w:sz w:val="22"/>
                <w:szCs w:val="22"/>
              </w:rPr>
              <w:t xml:space="preserve"> </w:t>
            </w:r>
            <w:r w:rsidRPr="00F62CB7" w:rsidR="005D470A">
              <w:rPr>
                <w:b/>
                <w:bCs/>
                <w:sz w:val="22"/>
                <w:szCs w:val="22"/>
              </w:rPr>
              <w:t>Output</w:t>
            </w:r>
          </w:p>
        </w:tc>
        <w:tc>
          <w:tcPr>
            <w:tcW w:w="1963" w:type="dxa"/>
            <w:vMerge w:val="restart"/>
            <w:tcBorders>
              <w:top w:val="single" w:color="FFC000" w:sz="12" w:space="0"/>
              <w:left w:val="single" w:color="FFC000" w:sz="4" w:space="0"/>
              <w:right w:val="single" w:color="FFC000" w:sz="4" w:space="0"/>
            </w:tcBorders>
            <w:vAlign w:val="center"/>
          </w:tcPr>
          <w:p w:rsidRPr="00F62CB7" w:rsidR="005D470A" w:rsidP="00ED3CFD" w:rsidRDefault="005D470A" w14:paraId="24491559"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Output indicator</w:t>
            </w:r>
          </w:p>
        </w:tc>
        <w:tc>
          <w:tcPr>
            <w:tcW w:w="3201" w:type="dxa"/>
            <w:vMerge w:val="restart"/>
            <w:tcBorders>
              <w:top w:val="single" w:color="FFC000" w:sz="12" w:space="0"/>
              <w:left w:val="single" w:color="FFC000" w:sz="4" w:space="0"/>
              <w:right w:val="single" w:color="FFC000" w:sz="4" w:space="0"/>
            </w:tcBorders>
            <w:vAlign w:val="center"/>
          </w:tcPr>
          <w:p w:rsidRPr="00F62CB7" w:rsidR="005D470A" w:rsidP="00ED3CFD" w:rsidRDefault="005D470A" w14:paraId="22C4B0F4"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Activities</w:t>
            </w:r>
          </w:p>
        </w:tc>
        <w:tc>
          <w:tcPr>
            <w:tcW w:w="2108" w:type="dxa"/>
            <w:gridSpan w:val="2"/>
            <w:tcBorders>
              <w:top w:val="single" w:color="FFC000" w:sz="12" w:space="0"/>
              <w:left w:val="single" w:color="FFC000" w:sz="4" w:space="0"/>
              <w:right w:val="single" w:color="FFC000" w:sz="4" w:space="0"/>
            </w:tcBorders>
            <w:vAlign w:val="center"/>
          </w:tcPr>
          <w:p w:rsidRPr="00F62CB7" w:rsidR="005D470A" w:rsidP="00ED3CFD" w:rsidRDefault="005D470A" w14:paraId="6EC54E44"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Responsibility</w:t>
            </w:r>
          </w:p>
        </w:tc>
        <w:tc>
          <w:tcPr>
            <w:tcW w:w="3079" w:type="dxa"/>
            <w:gridSpan w:val="4"/>
            <w:tcBorders>
              <w:top w:val="single" w:color="FFC000" w:sz="12" w:space="0"/>
              <w:left w:val="single" w:color="FFC000" w:sz="4" w:space="0"/>
              <w:right w:val="single" w:color="FFC000" w:sz="4" w:space="0"/>
            </w:tcBorders>
            <w:vAlign w:val="center"/>
          </w:tcPr>
          <w:p w:rsidRPr="00F62CB7" w:rsidR="005D470A" w:rsidP="00ED3CFD" w:rsidRDefault="005D470A" w14:paraId="22586770"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Implementation Timeline</w:t>
            </w:r>
          </w:p>
        </w:tc>
        <w:tc>
          <w:tcPr>
            <w:tcW w:w="1076" w:type="dxa"/>
            <w:vMerge w:val="restart"/>
            <w:tcBorders>
              <w:top w:val="single" w:color="FFC000" w:sz="12" w:space="0"/>
              <w:left w:val="single" w:color="FFC000" w:sz="4" w:space="0"/>
              <w:right w:val="single" w:color="FFC000" w:sz="4" w:space="0"/>
            </w:tcBorders>
            <w:vAlign w:val="center"/>
          </w:tcPr>
          <w:p w:rsidRPr="00F62CB7" w:rsidR="005D470A" w:rsidP="00ED3CFD" w:rsidRDefault="005D470A" w14:paraId="3484FA59"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USD / LCU</w:t>
            </w:r>
          </w:p>
        </w:tc>
        <w:tc>
          <w:tcPr>
            <w:tcW w:w="1185" w:type="dxa"/>
            <w:vMerge w:val="restart"/>
            <w:tcBorders>
              <w:top w:val="single" w:color="FFC000" w:sz="12" w:space="0"/>
              <w:left w:val="single" w:color="FFC000" w:sz="4" w:space="0"/>
              <w:right w:val="single" w:color="FFC000" w:sz="4" w:space="0"/>
            </w:tcBorders>
            <w:vAlign w:val="center"/>
          </w:tcPr>
          <w:p w:rsidRPr="00F62CB7" w:rsidR="005D470A" w:rsidP="00ED3CFD" w:rsidRDefault="005D470A" w14:paraId="6C84E6D2"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Source</w:t>
            </w:r>
          </w:p>
        </w:tc>
      </w:tr>
      <w:tr w:rsidR="00BF6A04" w:rsidTr="00BF6A04" w14:paraId="760153E4" w14:textId="77777777">
        <w:tc>
          <w:tcPr>
            <w:cnfStyle w:val="001000000000" w:firstRow="0" w:lastRow="0" w:firstColumn="1" w:lastColumn="0" w:oddVBand="0" w:evenVBand="0" w:oddHBand="0" w:evenHBand="0" w:firstRowFirstColumn="0" w:firstRowLastColumn="0" w:lastRowFirstColumn="0" w:lastRowLastColumn="0"/>
            <w:tcW w:w="1522" w:type="dxa"/>
            <w:vMerge/>
            <w:tcBorders>
              <w:left w:val="single" w:color="FFC000" w:sz="4" w:space="0"/>
              <w:bottom w:val="single" w:color="FFC000" w:sz="4" w:space="0"/>
              <w:right w:val="single" w:color="FFC000" w:sz="4" w:space="0"/>
            </w:tcBorders>
            <w:vAlign w:val="center"/>
          </w:tcPr>
          <w:p w:rsidR="005D470A" w:rsidP="00ED3CFD" w:rsidRDefault="005D470A" w14:paraId="7D4CC366" w14:textId="77777777">
            <w:pPr>
              <w:jc w:val="center"/>
              <w:rPr>
                <w:sz w:val="24"/>
                <w:szCs w:val="24"/>
              </w:rPr>
            </w:pPr>
          </w:p>
        </w:tc>
        <w:tc>
          <w:tcPr>
            <w:tcW w:w="1706" w:type="dxa"/>
            <w:vMerge/>
            <w:tcBorders>
              <w:left w:val="single" w:color="FFC000" w:sz="4" w:space="0"/>
              <w:bottom w:val="single" w:color="FFC000" w:sz="4" w:space="0"/>
              <w:right w:val="single" w:color="FFC000" w:sz="4" w:space="0"/>
            </w:tcBorders>
            <w:vAlign w:val="center"/>
          </w:tcPr>
          <w:p w:rsidR="005D470A" w:rsidP="00ED3CFD" w:rsidRDefault="005D470A" w14:paraId="04F12C53"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vMerge/>
            <w:tcBorders>
              <w:left w:val="single" w:color="FFC000" w:sz="4" w:space="0"/>
              <w:bottom w:val="single" w:color="FFC000" w:sz="4" w:space="0"/>
              <w:right w:val="single" w:color="FFC000" w:sz="4" w:space="0"/>
            </w:tcBorders>
            <w:vAlign w:val="center"/>
          </w:tcPr>
          <w:p w:rsidR="005D470A" w:rsidP="00ED3CFD" w:rsidRDefault="005D470A" w14:paraId="333E20D4"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vMerge/>
            <w:tcBorders>
              <w:left w:val="single" w:color="FFC000" w:sz="4" w:space="0"/>
              <w:bottom w:val="single" w:color="FFC000" w:sz="4" w:space="0"/>
              <w:right w:val="single" w:color="FFC000" w:sz="4" w:space="0"/>
            </w:tcBorders>
            <w:vAlign w:val="center"/>
          </w:tcPr>
          <w:p w:rsidR="005D470A" w:rsidP="00ED3CFD" w:rsidRDefault="005D470A" w14:paraId="717E3317"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color="FFC000" w:sz="4" w:space="0"/>
              <w:left w:val="single" w:color="FFC000" w:sz="4" w:space="0"/>
              <w:bottom w:val="single" w:color="FFC000" w:sz="4" w:space="0"/>
              <w:right w:val="single" w:color="FFC000" w:sz="4" w:space="0"/>
            </w:tcBorders>
            <w:vAlign w:val="center"/>
          </w:tcPr>
          <w:p w:rsidRPr="00F62CB7" w:rsidR="005D470A" w:rsidP="00ED3CFD" w:rsidRDefault="005D470A" w14:paraId="117ADD8A"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Lead</w:t>
            </w:r>
          </w:p>
        </w:tc>
        <w:tc>
          <w:tcPr>
            <w:tcW w:w="1176" w:type="dxa"/>
            <w:tcBorders>
              <w:top w:val="single" w:color="FFC000" w:sz="4" w:space="0"/>
              <w:left w:val="single" w:color="FFC000" w:sz="4" w:space="0"/>
              <w:bottom w:val="single" w:color="FFC000" w:sz="4" w:space="0"/>
              <w:right w:val="single" w:color="FFC000" w:sz="4" w:space="0"/>
            </w:tcBorders>
            <w:vAlign w:val="center"/>
          </w:tcPr>
          <w:p w:rsidRPr="00F62CB7" w:rsidR="005D470A" w:rsidP="00ED3CFD" w:rsidRDefault="005D470A" w14:paraId="3191A511"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Support</w:t>
            </w:r>
          </w:p>
        </w:tc>
        <w:tc>
          <w:tcPr>
            <w:tcW w:w="768" w:type="dxa"/>
            <w:tcBorders>
              <w:top w:val="single" w:color="FFC000" w:sz="4" w:space="0"/>
              <w:left w:val="single" w:color="FFC000" w:sz="4" w:space="0"/>
              <w:bottom w:val="single" w:color="FFC000" w:sz="4" w:space="0"/>
              <w:right w:val="single" w:color="FFC000" w:sz="4" w:space="0"/>
            </w:tcBorders>
            <w:vAlign w:val="center"/>
          </w:tcPr>
          <w:p w:rsidRPr="00F62CB7" w:rsidR="005D470A" w:rsidP="00ED3CFD" w:rsidRDefault="005D470A" w14:paraId="3B763DEA"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1</w:t>
            </w:r>
          </w:p>
        </w:tc>
        <w:tc>
          <w:tcPr>
            <w:tcW w:w="768" w:type="dxa"/>
            <w:tcBorders>
              <w:top w:val="single" w:color="FFC000" w:sz="4" w:space="0"/>
              <w:left w:val="single" w:color="FFC000" w:sz="4" w:space="0"/>
              <w:bottom w:val="single" w:color="FFC000" w:sz="4" w:space="0"/>
              <w:right w:val="single" w:color="FFC000" w:sz="4" w:space="0"/>
            </w:tcBorders>
            <w:vAlign w:val="center"/>
          </w:tcPr>
          <w:p w:rsidRPr="00F62CB7" w:rsidR="005D470A" w:rsidP="00ED3CFD" w:rsidRDefault="005D470A" w14:paraId="42321173"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2</w:t>
            </w:r>
          </w:p>
        </w:tc>
        <w:tc>
          <w:tcPr>
            <w:tcW w:w="768" w:type="dxa"/>
            <w:tcBorders>
              <w:top w:val="single" w:color="FFC000" w:sz="4" w:space="0"/>
              <w:left w:val="single" w:color="FFC000" w:sz="4" w:space="0"/>
              <w:bottom w:val="single" w:color="FFC000" w:sz="4" w:space="0"/>
              <w:right w:val="single" w:color="FFC000" w:sz="4" w:space="0"/>
            </w:tcBorders>
            <w:vAlign w:val="center"/>
          </w:tcPr>
          <w:p w:rsidRPr="00F62CB7" w:rsidR="005D470A" w:rsidP="00ED3CFD" w:rsidRDefault="005D470A" w14:paraId="15D441A5"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3</w:t>
            </w:r>
          </w:p>
        </w:tc>
        <w:tc>
          <w:tcPr>
            <w:tcW w:w="775" w:type="dxa"/>
            <w:tcBorders>
              <w:top w:val="single" w:color="FFC000" w:sz="4" w:space="0"/>
              <w:left w:val="single" w:color="FFC000" w:sz="4" w:space="0"/>
              <w:bottom w:val="single" w:color="FFC000" w:sz="4" w:space="0"/>
              <w:right w:val="single" w:color="FFC000" w:sz="4" w:space="0"/>
            </w:tcBorders>
            <w:vAlign w:val="center"/>
          </w:tcPr>
          <w:p w:rsidRPr="00F62CB7" w:rsidR="005D470A" w:rsidP="00ED3CFD" w:rsidRDefault="005D470A" w14:paraId="0AE71AC1"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4</w:t>
            </w:r>
          </w:p>
        </w:tc>
        <w:tc>
          <w:tcPr>
            <w:tcW w:w="1076" w:type="dxa"/>
            <w:vMerge/>
            <w:tcBorders>
              <w:left w:val="single" w:color="FFC000" w:sz="4" w:space="0"/>
              <w:bottom w:val="single" w:color="FFC000" w:sz="4" w:space="0"/>
              <w:right w:val="single" w:color="FFC000" w:sz="4" w:space="0"/>
            </w:tcBorders>
            <w:vAlign w:val="center"/>
          </w:tcPr>
          <w:p w:rsidR="005D470A" w:rsidP="00ED3CFD" w:rsidRDefault="005D470A" w14:paraId="5EFA2059"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vMerge/>
            <w:tcBorders>
              <w:left w:val="single" w:color="FFC000" w:sz="4" w:space="0"/>
              <w:bottom w:val="single" w:color="FFC000" w:sz="4" w:space="0"/>
              <w:right w:val="single" w:color="FFC000" w:sz="4" w:space="0"/>
            </w:tcBorders>
            <w:vAlign w:val="center"/>
          </w:tcPr>
          <w:p w:rsidR="005D470A" w:rsidP="00ED3CFD" w:rsidRDefault="005D470A" w14:paraId="3CB7E60D"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Pr="00F62CB7" w:rsidR="00BF6A04" w:rsidTr="00BF6A04" w14:paraId="229C5FC7" w14:textId="77777777">
        <w:trPr>
          <w:trHeight w:val="1100"/>
        </w:trPr>
        <w:tc>
          <w:tcPr>
            <w:cnfStyle w:val="001000000000" w:firstRow="0" w:lastRow="0" w:firstColumn="1" w:lastColumn="0" w:oddVBand="0" w:evenVBand="0" w:oddHBand="0" w:evenHBand="0" w:firstRowFirstColumn="0" w:firstRowLastColumn="0" w:lastRowFirstColumn="0" w:lastRowLastColumn="0"/>
            <w:tcW w:w="1522" w:type="dxa"/>
            <w:vMerge w:val="restart"/>
            <w:tcBorders>
              <w:top w:val="single" w:color="FFC000" w:sz="4" w:space="0"/>
              <w:left w:val="single" w:color="FFC000" w:sz="4" w:space="0"/>
              <w:right w:val="single" w:color="FFC000" w:sz="4" w:space="0"/>
            </w:tcBorders>
            <w:vAlign w:val="center"/>
          </w:tcPr>
          <w:p w:rsidRPr="002623C7" w:rsidR="005D470A" w:rsidP="00ED3CFD" w:rsidRDefault="005D470A" w14:paraId="2BFC437F" w14:textId="6CF08052">
            <w:pPr>
              <w:jc w:val="center"/>
              <w:rPr>
                <w:b w:val="0"/>
                <w:bCs w:val="0"/>
                <w:i/>
                <w:iCs/>
                <w:sz w:val="20"/>
                <w:szCs w:val="20"/>
              </w:rPr>
            </w:pPr>
          </w:p>
        </w:tc>
        <w:tc>
          <w:tcPr>
            <w:tcW w:w="1706" w:type="dxa"/>
            <w:vMerge w:val="restart"/>
            <w:tcBorders>
              <w:top w:val="single" w:color="FFC000" w:sz="4" w:space="0"/>
              <w:left w:val="single" w:color="FFC000" w:sz="4" w:space="0"/>
              <w:right w:val="single" w:color="FFC000" w:sz="4" w:space="0"/>
            </w:tcBorders>
            <w:vAlign w:val="center"/>
          </w:tcPr>
          <w:p w:rsidRPr="002623C7" w:rsidR="005D470A" w:rsidP="00ED3CFD" w:rsidRDefault="005D470A" w14:paraId="07B627BF" w14:textId="4C16E0D0">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963" w:type="dxa"/>
            <w:vMerge w:val="restart"/>
            <w:tcBorders>
              <w:top w:val="single" w:color="FFC000" w:sz="4" w:space="0"/>
              <w:left w:val="single" w:color="FFC000" w:sz="4" w:space="0"/>
              <w:right w:val="single" w:color="FFC000" w:sz="4" w:space="0"/>
            </w:tcBorders>
            <w:vAlign w:val="center"/>
          </w:tcPr>
          <w:p w:rsidRPr="002623C7" w:rsidR="005D470A" w:rsidP="00ED3CFD" w:rsidRDefault="005D470A" w14:paraId="721F7E3C" w14:textId="24BB65EE">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3201" w:type="dxa"/>
            <w:tcBorders>
              <w:top w:val="single" w:color="FFC000" w:sz="4" w:space="0"/>
              <w:left w:val="single" w:color="FFC000" w:sz="4" w:space="0"/>
              <w:bottom w:val="single" w:color="FFC000" w:sz="4" w:space="0"/>
              <w:right w:val="single" w:color="FFC000" w:sz="4" w:space="0"/>
            </w:tcBorders>
            <w:vAlign w:val="center"/>
          </w:tcPr>
          <w:p w:rsidRPr="005D470A" w:rsidR="005D470A" w:rsidP="00ED3CFD" w:rsidRDefault="005D470A" w14:paraId="3D3AB850" w14:textId="4442112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Borders>
              <w:top w:val="single" w:color="FFC000" w:sz="4" w:space="0"/>
              <w:left w:val="single" w:color="FFC000" w:sz="4" w:space="0"/>
              <w:bottom w:val="single" w:color="FFC000" w:sz="4" w:space="0"/>
              <w:right w:val="single" w:color="FFC000" w:sz="4" w:space="0"/>
            </w:tcBorders>
            <w:vAlign w:val="center"/>
          </w:tcPr>
          <w:p w:rsidRPr="002623C7" w:rsidR="005D470A" w:rsidP="00ED3CFD" w:rsidRDefault="005D470A" w14:paraId="10BD99ED"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176" w:type="dxa"/>
            <w:tcBorders>
              <w:top w:val="single" w:color="FFC000" w:sz="4" w:space="0"/>
              <w:left w:val="single" w:color="FFC000" w:sz="4" w:space="0"/>
              <w:bottom w:val="single" w:color="FFC000" w:sz="4" w:space="0"/>
              <w:right w:val="single" w:color="FFC000" w:sz="4" w:space="0"/>
            </w:tcBorders>
            <w:vAlign w:val="center"/>
          </w:tcPr>
          <w:p w:rsidRPr="002623C7" w:rsidR="005D470A" w:rsidP="00ED3CFD" w:rsidRDefault="005D470A" w14:paraId="54C6C9CD"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768" w:type="dxa"/>
            <w:tcBorders>
              <w:top w:val="single" w:color="FFC000" w:sz="4" w:space="0"/>
              <w:left w:val="single" w:color="FFC000" w:sz="4" w:space="0"/>
              <w:bottom w:val="single" w:color="FFC000" w:sz="4" w:space="0"/>
              <w:right w:val="single" w:color="FFC000" w:sz="4" w:space="0"/>
            </w:tcBorders>
            <w:shd w:val="clear" w:color="auto" w:fill="auto"/>
            <w:vAlign w:val="center"/>
          </w:tcPr>
          <w:p w:rsidRPr="002623C7" w:rsidR="005D470A" w:rsidP="00ED3CFD" w:rsidRDefault="005D470A" w14:paraId="693899DB"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vAlign w:val="center"/>
          </w:tcPr>
          <w:p w:rsidRPr="002623C7" w:rsidR="005D470A" w:rsidP="00ED3CFD" w:rsidRDefault="005D470A" w14:paraId="3B736556"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vAlign w:val="center"/>
          </w:tcPr>
          <w:p w:rsidRPr="002623C7" w:rsidR="005D470A" w:rsidP="00ED3CFD" w:rsidRDefault="005D470A" w14:paraId="55037AF8"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75" w:type="dxa"/>
            <w:tcBorders>
              <w:top w:val="single" w:color="FFC000" w:sz="4" w:space="0"/>
              <w:left w:val="single" w:color="FFC000" w:sz="4" w:space="0"/>
              <w:bottom w:val="single" w:color="FFC000" w:sz="4" w:space="0"/>
              <w:right w:val="single" w:color="FFC000" w:sz="4" w:space="0"/>
            </w:tcBorders>
            <w:shd w:val="clear" w:color="auto" w:fill="auto"/>
            <w:vAlign w:val="center"/>
          </w:tcPr>
          <w:p w:rsidRPr="002623C7" w:rsidR="005D470A" w:rsidP="00ED3CFD" w:rsidRDefault="005D470A" w14:paraId="01915710"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tcBorders>
              <w:top w:val="single" w:color="FFC000" w:sz="4" w:space="0"/>
              <w:left w:val="single" w:color="FFC000" w:sz="4" w:space="0"/>
              <w:bottom w:val="single" w:color="FFC000" w:sz="4" w:space="0"/>
              <w:right w:val="single" w:color="FFC000" w:sz="4" w:space="0"/>
            </w:tcBorders>
            <w:vAlign w:val="center"/>
          </w:tcPr>
          <w:p w:rsidRPr="002623C7" w:rsidR="005D470A" w:rsidP="00ED3CFD" w:rsidRDefault="005D470A" w14:paraId="3FC5A18E"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185" w:type="dxa"/>
            <w:tcBorders>
              <w:top w:val="single" w:color="FFC000" w:sz="4" w:space="0"/>
              <w:left w:val="single" w:color="FFC000" w:sz="4" w:space="0"/>
              <w:bottom w:val="single" w:color="FFC000" w:sz="4" w:space="0"/>
              <w:right w:val="single" w:color="FFC000" w:sz="4" w:space="0"/>
            </w:tcBorders>
            <w:vAlign w:val="center"/>
          </w:tcPr>
          <w:p w:rsidRPr="002623C7" w:rsidR="005D470A" w:rsidP="00ED3CFD" w:rsidRDefault="005D470A" w14:paraId="1BD3ACE4"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BF6A04" w:rsidTr="00BF6A04" w14:paraId="5F0B40D6" w14:textId="77777777">
        <w:trPr>
          <w:trHeight w:val="908"/>
        </w:trPr>
        <w:tc>
          <w:tcPr>
            <w:cnfStyle w:val="001000000000" w:firstRow="0" w:lastRow="0" w:firstColumn="1" w:lastColumn="0" w:oddVBand="0" w:evenVBand="0" w:oddHBand="0" w:evenHBand="0" w:firstRowFirstColumn="0" w:firstRowLastColumn="0" w:lastRowFirstColumn="0" w:lastRowLastColumn="0"/>
            <w:tcW w:w="1522" w:type="dxa"/>
            <w:vMerge/>
            <w:tcBorders>
              <w:left w:val="single" w:color="FFC000" w:sz="4" w:space="0"/>
              <w:right w:val="single" w:color="FFC000" w:sz="4" w:space="0"/>
            </w:tcBorders>
            <w:vAlign w:val="center"/>
          </w:tcPr>
          <w:p w:rsidRPr="002623C7" w:rsidR="005D470A" w:rsidP="00A82FE5" w:rsidRDefault="005D470A" w14:paraId="64130A91" w14:textId="77777777">
            <w:pPr>
              <w:rPr>
                <w:i/>
                <w:iCs/>
                <w:sz w:val="24"/>
                <w:szCs w:val="24"/>
              </w:rPr>
            </w:pPr>
          </w:p>
        </w:tc>
        <w:tc>
          <w:tcPr>
            <w:tcW w:w="1706" w:type="dxa"/>
            <w:vMerge/>
            <w:tcBorders>
              <w:left w:val="single" w:color="FFC000" w:sz="4" w:space="0"/>
              <w:right w:val="single" w:color="FFC000" w:sz="4" w:space="0"/>
            </w:tcBorders>
            <w:vAlign w:val="center"/>
          </w:tcPr>
          <w:p w:rsidRPr="002623C7" w:rsidR="005D470A" w:rsidP="00A82FE5" w:rsidRDefault="005D470A" w14:paraId="49893C22"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963" w:type="dxa"/>
            <w:vMerge/>
            <w:tcBorders>
              <w:left w:val="single" w:color="FFC000" w:sz="4" w:space="0"/>
              <w:right w:val="single" w:color="FFC000" w:sz="4" w:space="0"/>
            </w:tcBorders>
            <w:vAlign w:val="center"/>
          </w:tcPr>
          <w:p w:rsidRPr="002623C7" w:rsidR="005D470A" w:rsidP="00A82FE5" w:rsidRDefault="005D470A" w14:paraId="30D4CDED"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201" w:type="dxa"/>
            <w:tcBorders>
              <w:top w:val="single" w:color="FFC000" w:sz="4" w:space="0"/>
              <w:left w:val="single" w:color="FFC000" w:sz="4" w:space="0"/>
              <w:bottom w:val="single" w:color="FFC000" w:sz="4" w:space="0"/>
              <w:right w:val="single" w:color="FFC000" w:sz="4" w:space="0"/>
            </w:tcBorders>
            <w:vAlign w:val="center"/>
          </w:tcPr>
          <w:p w:rsidRPr="005D470A" w:rsidR="005D470A" w:rsidP="005D470A" w:rsidRDefault="005D470A" w14:paraId="6EECD450" w14:textId="338AD50D">
            <w:pPr>
              <w:cnfStyle w:val="000000000000" w:firstRow="0" w:lastRow="0" w:firstColumn="0" w:lastColumn="0" w:oddVBand="0" w:evenVBand="0" w:oddHBand="0" w:evenHBand="0" w:firstRowFirstColumn="0" w:firstRowLastColumn="0" w:lastRowFirstColumn="0" w:lastRowLastColumn="0"/>
              <w:rPr>
                <w:i/>
                <w:iCs/>
                <w:sz w:val="20"/>
                <w:szCs w:val="20"/>
              </w:rPr>
            </w:pPr>
          </w:p>
          <w:p w:rsidRPr="002623C7" w:rsidR="005D470A" w:rsidP="00A82FE5" w:rsidRDefault="005D470A" w14:paraId="0E99EB64"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41E80537"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7D1CD70F"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5673509C"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20E85BBF"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0D147785"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75"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6539E794"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797616CB"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185"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42555784"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rsidTr="00111FED" w14:paraId="4E76A39F" w14:textId="77777777">
        <w:trPr>
          <w:trHeight w:val="974"/>
        </w:trPr>
        <w:tc>
          <w:tcPr>
            <w:cnfStyle w:val="001000000000" w:firstRow="0" w:lastRow="0" w:firstColumn="1" w:lastColumn="0" w:oddVBand="0" w:evenVBand="0" w:oddHBand="0" w:evenHBand="0" w:firstRowFirstColumn="0" w:firstRowLastColumn="0" w:lastRowFirstColumn="0" w:lastRowLastColumn="0"/>
            <w:tcW w:w="1522" w:type="dxa"/>
            <w:vMerge/>
            <w:tcBorders>
              <w:left w:val="single" w:color="FFC000" w:sz="4" w:space="0"/>
              <w:bottom w:val="single" w:color="FFC000" w:sz="4" w:space="0"/>
              <w:right w:val="single" w:color="FFC000" w:sz="4" w:space="0"/>
            </w:tcBorders>
            <w:vAlign w:val="center"/>
          </w:tcPr>
          <w:p w:rsidRPr="002623C7" w:rsidR="005D470A" w:rsidP="00A82FE5" w:rsidRDefault="005D470A" w14:paraId="4DC3426F" w14:textId="77777777">
            <w:pPr>
              <w:rPr>
                <w:i/>
                <w:iCs/>
                <w:sz w:val="24"/>
                <w:szCs w:val="24"/>
              </w:rPr>
            </w:pPr>
          </w:p>
        </w:tc>
        <w:tc>
          <w:tcPr>
            <w:tcW w:w="1706" w:type="dxa"/>
            <w:vMerge/>
            <w:tcBorders>
              <w:left w:val="single" w:color="FFC000" w:sz="4" w:space="0"/>
              <w:bottom w:val="single" w:color="FFC000" w:sz="4" w:space="0"/>
              <w:right w:val="single" w:color="FFC000" w:sz="4" w:space="0"/>
            </w:tcBorders>
            <w:vAlign w:val="center"/>
          </w:tcPr>
          <w:p w:rsidRPr="002623C7" w:rsidR="005D470A" w:rsidP="00A82FE5" w:rsidRDefault="005D470A" w14:paraId="56D87D5B"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963" w:type="dxa"/>
            <w:vMerge/>
            <w:tcBorders>
              <w:left w:val="single" w:color="FFC000" w:sz="4" w:space="0"/>
              <w:bottom w:val="single" w:color="FFC000" w:sz="4" w:space="0"/>
              <w:right w:val="single" w:color="FFC000" w:sz="4" w:space="0"/>
            </w:tcBorders>
            <w:vAlign w:val="center"/>
          </w:tcPr>
          <w:p w:rsidRPr="002623C7" w:rsidR="005D470A" w:rsidP="00A82FE5" w:rsidRDefault="005D470A" w14:paraId="4A4DEE84"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201" w:type="dxa"/>
            <w:tcBorders>
              <w:top w:val="single" w:color="FFC000" w:sz="4" w:space="0"/>
              <w:left w:val="single" w:color="FFC000" w:sz="4" w:space="0"/>
              <w:bottom w:val="single" w:color="FFC000" w:sz="12" w:space="0"/>
              <w:right w:val="single" w:color="FFC000" w:sz="4" w:space="0"/>
            </w:tcBorders>
            <w:vAlign w:val="center"/>
          </w:tcPr>
          <w:p w:rsidRPr="005D470A" w:rsidR="005D470A" w:rsidP="005D470A" w:rsidRDefault="005D470A" w14:paraId="2AC40B5B" w14:textId="737B7326">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3DF46DE3"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65287069"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5B6D48E8"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0A92C12E"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3B09AD78"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75" w:type="dxa"/>
            <w:tcBorders>
              <w:top w:val="single" w:color="FFC000" w:sz="4" w:space="0"/>
              <w:left w:val="single" w:color="FFC000" w:sz="4" w:space="0"/>
              <w:bottom w:val="single" w:color="FFC000" w:sz="4" w:space="0"/>
              <w:right w:val="single" w:color="FFC000" w:sz="4" w:space="0"/>
            </w:tcBorders>
            <w:shd w:val="clear" w:color="auto" w:fill="auto"/>
          </w:tcPr>
          <w:p w:rsidRPr="002623C7" w:rsidR="005D470A" w:rsidP="00A82FE5" w:rsidRDefault="005D470A" w14:paraId="7D50B16D"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1BB3A4D3"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185" w:type="dxa"/>
            <w:tcBorders>
              <w:top w:val="single" w:color="FFC000" w:sz="4" w:space="0"/>
              <w:left w:val="single" w:color="FFC000" w:sz="4" w:space="0"/>
              <w:bottom w:val="single" w:color="FFC000" w:sz="4" w:space="0"/>
              <w:right w:val="single" w:color="FFC000" w:sz="4" w:space="0"/>
            </w:tcBorders>
          </w:tcPr>
          <w:p w:rsidRPr="002623C7" w:rsidR="005D470A" w:rsidP="00A82FE5" w:rsidRDefault="005D470A" w14:paraId="55C700CD"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rsidTr="00332ABF" w14:paraId="20FA6312" w14:textId="77777777">
        <w:trPr>
          <w:trHeight w:val="1433"/>
        </w:trPr>
        <w:tc>
          <w:tcPr>
            <w:cnfStyle w:val="001000000000" w:firstRow="0" w:lastRow="0" w:firstColumn="1" w:lastColumn="0" w:oddVBand="0" w:evenVBand="0" w:oddHBand="0" w:evenHBand="0" w:firstRowFirstColumn="0" w:firstRowLastColumn="0" w:lastRowFirstColumn="0" w:lastRowLastColumn="0"/>
            <w:tcW w:w="1522" w:type="dxa"/>
            <w:tcBorders>
              <w:top w:val="single" w:color="FFC000" w:sz="4" w:space="0"/>
              <w:left w:val="single" w:color="FFC000" w:sz="4" w:space="0"/>
              <w:bottom w:val="single" w:color="FFC000" w:sz="4" w:space="0"/>
              <w:right w:val="single" w:color="FFC000" w:sz="4" w:space="0"/>
            </w:tcBorders>
          </w:tcPr>
          <w:p w:rsidR="00BF6A04" w:rsidP="00A82FE5" w:rsidRDefault="00BF6A04" w14:paraId="31D6BDAE" w14:textId="77777777">
            <w:pPr>
              <w:jc w:val="both"/>
              <w:rPr>
                <w:sz w:val="24"/>
                <w:szCs w:val="24"/>
              </w:rPr>
            </w:pPr>
          </w:p>
        </w:tc>
        <w:tc>
          <w:tcPr>
            <w:tcW w:w="1706" w:type="dxa"/>
            <w:tcBorders>
              <w:top w:val="single" w:color="FFC000" w:sz="4" w:space="0"/>
              <w:left w:val="single" w:color="FFC000" w:sz="4" w:space="0"/>
              <w:bottom w:val="single" w:color="FFC000" w:sz="4" w:space="0"/>
              <w:right w:val="single" w:color="FFC000" w:sz="4" w:space="0"/>
            </w:tcBorders>
          </w:tcPr>
          <w:p w:rsidR="00BF6A04" w:rsidP="00A82FE5" w:rsidRDefault="00BF6A04" w14:paraId="163785C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Borders>
              <w:top w:val="single" w:color="FFC000" w:sz="4" w:space="0"/>
              <w:left w:val="single" w:color="FFC000" w:sz="4" w:space="0"/>
              <w:bottom w:val="single" w:color="FFC000" w:sz="4" w:space="0"/>
              <w:right w:val="single" w:color="FFC000" w:sz="4" w:space="0"/>
            </w:tcBorders>
          </w:tcPr>
          <w:p w:rsidR="00BF6A04" w:rsidP="00A82FE5" w:rsidRDefault="00BF6A04" w14:paraId="6B147E7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Borders>
              <w:top w:val="single" w:color="FFC000" w:sz="12" w:space="0"/>
              <w:left w:val="single" w:color="FFC000" w:sz="4" w:space="0"/>
              <w:bottom w:val="single" w:color="FFC000" w:sz="4" w:space="0"/>
              <w:right w:val="single" w:color="FFC000" w:sz="4" w:space="0"/>
            </w:tcBorders>
          </w:tcPr>
          <w:p w:rsidR="00BF6A04" w:rsidP="00A82FE5" w:rsidRDefault="00BF6A04" w14:paraId="0C4433C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color="FFC000" w:sz="4" w:space="0"/>
              <w:left w:val="single" w:color="FFC000" w:sz="4" w:space="0"/>
              <w:bottom w:val="single" w:color="FFC000" w:sz="4" w:space="0"/>
              <w:right w:val="single" w:color="FFC000" w:sz="4" w:space="0"/>
            </w:tcBorders>
          </w:tcPr>
          <w:p w:rsidR="00BF6A04" w:rsidP="00A82FE5" w:rsidRDefault="00BF6A04" w14:paraId="2F8455D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color="FFC000" w:sz="4" w:space="0"/>
              <w:left w:val="single" w:color="FFC000" w:sz="4" w:space="0"/>
              <w:bottom w:val="single" w:color="FFC000" w:sz="4" w:space="0"/>
              <w:right w:val="single" w:color="FFC000" w:sz="4" w:space="0"/>
            </w:tcBorders>
          </w:tcPr>
          <w:p w:rsidR="00BF6A04" w:rsidP="00A82FE5" w:rsidRDefault="00BF6A04" w14:paraId="02DE7B3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BF6A04" w:rsidP="00A82FE5" w:rsidRDefault="00BF6A04" w14:paraId="2C2AB45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BF6A04" w:rsidP="00A82FE5" w:rsidRDefault="00BF6A04" w14:paraId="7D555DF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BF6A04" w:rsidP="00A82FE5" w:rsidRDefault="00BF6A04" w14:paraId="4F04022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Borders>
              <w:top w:val="single" w:color="FFC000" w:sz="4" w:space="0"/>
              <w:left w:val="single" w:color="FFC000" w:sz="4" w:space="0"/>
              <w:bottom w:val="single" w:color="FFC000" w:sz="4" w:space="0"/>
              <w:right w:val="single" w:color="FFC000" w:sz="4" w:space="0"/>
            </w:tcBorders>
          </w:tcPr>
          <w:p w:rsidR="00BF6A04" w:rsidP="00A82FE5" w:rsidRDefault="00BF6A04" w14:paraId="67D3C8E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Borders>
              <w:top w:val="single" w:color="FFC000" w:sz="4" w:space="0"/>
              <w:left w:val="single" w:color="FFC000" w:sz="4" w:space="0"/>
              <w:bottom w:val="single" w:color="FFC000" w:sz="4" w:space="0"/>
              <w:right w:val="single" w:color="FFC000" w:sz="4" w:space="0"/>
            </w:tcBorders>
          </w:tcPr>
          <w:p w:rsidR="00BF6A04" w:rsidP="00A82FE5" w:rsidRDefault="00BF6A04" w14:paraId="42CFBA0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Borders>
              <w:top w:val="single" w:color="FFC000" w:sz="4" w:space="0"/>
              <w:left w:val="single" w:color="FFC000" w:sz="4" w:space="0"/>
              <w:bottom w:val="single" w:color="FFC000" w:sz="4" w:space="0"/>
              <w:right w:val="single" w:color="FFC000" w:sz="4" w:space="0"/>
            </w:tcBorders>
          </w:tcPr>
          <w:p w:rsidR="00BF6A04" w:rsidP="00A82FE5" w:rsidRDefault="00BF6A04" w14:paraId="3620BCD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332ABF" w14:paraId="1FE0B266" w14:textId="77777777">
        <w:trPr>
          <w:trHeight w:val="1433"/>
        </w:trPr>
        <w:tc>
          <w:tcPr>
            <w:cnfStyle w:val="001000000000" w:firstRow="0" w:lastRow="0" w:firstColumn="1" w:lastColumn="0" w:oddVBand="0" w:evenVBand="0" w:oddHBand="0" w:evenHBand="0" w:firstRowFirstColumn="0" w:firstRowLastColumn="0" w:lastRowFirstColumn="0" w:lastRowLastColumn="0"/>
            <w:tcW w:w="1522" w:type="dxa"/>
            <w:tcBorders>
              <w:top w:val="single" w:color="FFC000" w:sz="4" w:space="0"/>
              <w:left w:val="single" w:color="FFC000" w:sz="4" w:space="0"/>
              <w:bottom w:val="single" w:color="FFC000" w:sz="4" w:space="0"/>
              <w:right w:val="single" w:color="FFC000" w:sz="4" w:space="0"/>
            </w:tcBorders>
          </w:tcPr>
          <w:p w:rsidR="00BF6A04" w:rsidP="00A82FE5" w:rsidRDefault="00BF6A04" w14:paraId="40B77BE3" w14:textId="77777777">
            <w:pPr>
              <w:jc w:val="both"/>
              <w:rPr>
                <w:sz w:val="24"/>
                <w:szCs w:val="24"/>
              </w:rPr>
            </w:pPr>
          </w:p>
        </w:tc>
        <w:tc>
          <w:tcPr>
            <w:tcW w:w="1706" w:type="dxa"/>
            <w:tcBorders>
              <w:top w:val="single" w:color="FFC000" w:sz="4" w:space="0"/>
              <w:left w:val="single" w:color="FFC000" w:sz="4" w:space="0"/>
              <w:bottom w:val="single" w:color="FFC000" w:sz="4" w:space="0"/>
              <w:right w:val="single" w:color="FFC000" w:sz="4" w:space="0"/>
            </w:tcBorders>
          </w:tcPr>
          <w:p w:rsidR="00BF6A04" w:rsidP="00A82FE5" w:rsidRDefault="00BF6A04" w14:paraId="5A187ED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Borders>
              <w:top w:val="single" w:color="FFC000" w:sz="4" w:space="0"/>
              <w:left w:val="single" w:color="FFC000" w:sz="4" w:space="0"/>
              <w:bottom w:val="single" w:color="FFC000" w:sz="4" w:space="0"/>
              <w:right w:val="single" w:color="FFC000" w:sz="4" w:space="0"/>
            </w:tcBorders>
          </w:tcPr>
          <w:p w:rsidR="00BF6A04" w:rsidP="00A82FE5" w:rsidRDefault="00BF6A04" w14:paraId="78C6F3F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Borders>
              <w:top w:val="single" w:color="FFC000" w:sz="4" w:space="0"/>
              <w:left w:val="single" w:color="FFC000" w:sz="4" w:space="0"/>
              <w:bottom w:val="single" w:color="FFC000" w:sz="4" w:space="0"/>
              <w:right w:val="single" w:color="FFC000" w:sz="4" w:space="0"/>
            </w:tcBorders>
          </w:tcPr>
          <w:p w:rsidR="00BF6A04" w:rsidP="00A82FE5" w:rsidRDefault="00BF6A04" w14:paraId="038A403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color="FFC000" w:sz="4" w:space="0"/>
              <w:left w:val="single" w:color="FFC000" w:sz="4" w:space="0"/>
              <w:bottom w:val="single" w:color="FFC000" w:sz="4" w:space="0"/>
              <w:right w:val="single" w:color="FFC000" w:sz="4" w:space="0"/>
            </w:tcBorders>
          </w:tcPr>
          <w:p w:rsidR="00BF6A04" w:rsidP="00A82FE5" w:rsidRDefault="00BF6A04" w14:paraId="69CE76F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color="FFC000" w:sz="4" w:space="0"/>
              <w:left w:val="single" w:color="FFC000" w:sz="4" w:space="0"/>
              <w:bottom w:val="single" w:color="FFC000" w:sz="4" w:space="0"/>
              <w:right w:val="single" w:color="FFC000" w:sz="4" w:space="0"/>
            </w:tcBorders>
          </w:tcPr>
          <w:p w:rsidR="00BF6A04" w:rsidP="00A82FE5" w:rsidRDefault="00BF6A04" w14:paraId="30B7AF2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BF6A04" w:rsidP="00A82FE5" w:rsidRDefault="00BF6A04" w14:paraId="11C79D4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BF6A04" w:rsidP="00A82FE5" w:rsidRDefault="00BF6A04" w14:paraId="31E9570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BF6A04" w:rsidP="00A82FE5" w:rsidRDefault="00BF6A04" w14:paraId="5FBD78A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Borders>
              <w:top w:val="single" w:color="FFC000" w:sz="4" w:space="0"/>
              <w:left w:val="single" w:color="FFC000" w:sz="4" w:space="0"/>
              <w:bottom w:val="single" w:color="FFC000" w:sz="4" w:space="0"/>
              <w:right w:val="single" w:color="FFC000" w:sz="4" w:space="0"/>
            </w:tcBorders>
          </w:tcPr>
          <w:p w:rsidR="00BF6A04" w:rsidP="00A82FE5" w:rsidRDefault="00BF6A04" w14:paraId="02CA338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Borders>
              <w:top w:val="single" w:color="FFC000" w:sz="4" w:space="0"/>
              <w:left w:val="single" w:color="FFC000" w:sz="4" w:space="0"/>
              <w:bottom w:val="single" w:color="FFC000" w:sz="4" w:space="0"/>
              <w:right w:val="single" w:color="FFC000" w:sz="4" w:space="0"/>
            </w:tcBorders>
          </w:tcPr>
          <w:p w:rsidR="00BF6A04" w:rsidP="00A82FE5" w:rsidRDefault="00BF6A04" w14:paraId="22267C0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Borders>
              <w:top w:val="single" w:color="FFC000" w:sz="4" w:space="0"/>
              <w:left w:val="single" w:color="FFC000" w:sz="4" w:space="0"/>
              <w:bottom w:val="single" w:color="FFC000" w:sz="4" w:space="0"/>
              <w:right w:val="single" w:color="FFC000" w:sz="4" w:space="0"/>
            </w:tcBorders>
          </w:tcPr>
          <w:p w:rsidR="00BF6A04" w:rsidP="00A82FE5" w:rsidRDefault="00BF6A04" w14:paraId="39702FA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332ABF" w14:paraId="12DF6C4D" w14:textId="77777777">
        <w:trPr>
          <w:trHeight w:val="1433"/>
        </w:trPr>
        <w:tc>
          <w:tcPr>
            <w:cnfStyle w:val="001000000000" w:firstRow="0" w:lastRow="0" w:firstColumn="1" w:lastColumn="0" w:oddVBand="0" w:evenVBand="0" w:oddHBand="0" w:evenHBand="0" w:firstRowFirstColumn="0" w:firstRowLastColumn="0" w:lastRowFirstColumn="0" w:lastRowLastColumn="0"/>
            <w:tcW w:w="1522" w:type="dxa"/>
            <w:tcBorders>
              <w:top w:val="single" w:color="FFC000" w:sz="4" w:space="0"/>
              <w:left w:val="single" w:color="FFC000" w:sz="4" w:space="0"/>
              <w:right w:val="single" w:color="FFC000" w:sz="4" w:space="0"/>
            </w:tcBorders>
          </w:tcPr>
          <w:p w:rsidR="00BF6A04" w:rsidP="00A82FE5" w:rsidRDefault="00BF6A04" w14:paraId="0A28A449" w14:textId="77777777">
            <w:pPr>
              <w:jc w:val="both"/>
              <w:rPr>
                <w:sz w:val="24"/>
                <w:szCs w:val="24"/>
              </w:rPr>
            </w:pPr>
          </w:p>
        </w:tc>
        <w:tc>
          <w:tcPr>
            <w:tcW w:w="1706" w:type="dxa"/>
            <w:tcBorders>
              <w:top w:val="single" w:color="FFC000" w:sz="4" w:space="0"/>
              <w:left w:val="single" w:color="FFC000" w:sz="4" w:space="0"/>
              <w:right w:val="single" w:color="FFC000" w:sz="4" w:space="0"/>
            </w:tcBorders>
          </w:tcPr>
          <w:p w:rsidR="00BF6A04" w:rsidP="00A82FE5" w:rsidRDefault="00BF6A04" w14:paraId="543344F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Borders>
              <w:top w:val="single" w:color="FFC000" w:sz="4" w:space="0"/>
              <w:left w:val="single" w:color="FFC000" w:sz="4" w:space="0"/>
              <w:right w:val="single" w:color="FFC000" w:sz="4" w:space="0"/>
            </w:tcBorders>
          </w:tcPr>
          <w:p w:rsidR="00BF6A04" w:rsidP="00A82FE5" w:rsidRDefault="00BF6A04" w14:paraId="4DE94CE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Borders>
              <w:top w:val="single" w:color="FFC000" w:sz="4" w:space="0"/>
              <w:left w:val="single" w:color="FFC000" w:sz="4" w:space="0"/>
              <w:right w:val="single" w:color="FFC000" w:sz="4" w:space="0"/>
            </w:tcBorders>
          </w:tcPr>
          <w:p w:rsidR="00BF6A04" w:rsidP="00A82FE5" w:rsidRDefault="00BF6A04" w14:paraId="0A39562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color="FFC000" w:sz="4" w:space="0"/>
              <w:left w:val="single" w:color="FFC000" w:sz="4" w:space="0"/>
              <w:right w:val="single" w:color="FFC000" w:sz="4" w:space="0"/>
            </w:tcBorders>
          </w:tcPr>
          <w:p w:rsidR="00BF6A04" w:rsidP="00A82FE5" w:rsidRDefault="00BF6A04" w14:paraId="54ABBEA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color="FFC000" w:sz="4" w:space="0"/>
              <w:left w:val="single" w:color="FFC000" w:sz="4" w:space="0"/>
              <w:right w:val="single" w:color="FFC000" w:sz="4" w:space="0"/>
            </w:tcBorders>
          </w:tcPr>
          <w:p w:rsidR="00BF6A04" w:rsidP="00A82FE5" w:rsidRDefault="00BF6A04" w14:paraId="5BBE29B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right w:val="single" w:color="FFC000" w:sz="4" w:space="0"/>
            </w:tcBorders>
          </w:tcPr>
          <w:p w:rsidR="00BF6A04" w:rsidP="00A82FE5" w:rsidRDefault="00BF6A04" w14:paraId="295346E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right w:val="single" w:color="FFC000" w:sz="4" w:space="0"/>
            </w:tcBorders>
          </w:tcPr>
          <w:p w:rsidR="00BF6A04" w:rsidP="00A82FE5" w:rsidRDefault="00BF6A04" w14:paraId="7AD38AD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right w:val="single" w:color="FFC000" w:sz="4" w:space="0"/>
            </w:tcBorders>
          </w:tcPr>
          <w:p w:rsidR="00BF6A04" w:rsidP="00A82FE5" w:rsidRDefault="00BF6A04" w14:paraId="2083520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Borders>
              <w:top w:val="single" w:color="FFC000" w:sz="4" w:space="0"/>
              <w:left w:val="single" w:color="FFC000" w:sz="4" w:space="0"/>
              <w:right w:val="single" w:color="FFC000" w:sz="4" w:space="0"/>
            </w:tcBorders>
          </w:tcPr>
          <w:p w:rsidR="00BF6A04" w:rsidP="00A82FE5" w:rsidRDefault="00BF6A04" w14:paraId="68EE6EE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Borders>
              <w:top w:val="single" w:color="FFC000" w:sz="4" w:space="0"/>
              <w:left w:val="single" w:color="FFC000" w:sz="4" w:space="0"/>
              <w:right w:val="single" w:color="FFC000" w:sz="4" w:space="0"/>
            </w:tcBorders>
          </w:tcPr>
          <w:p w:rsidR="00BF6A04" w:rsidP="00A82FE5" w:rsidRDefault="00BF6A04" w14:paraId="1E21224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Borders>
              <w:top w:val="single" w:color="FFC000" w:sz="4" w:space="0"/>
              <w:left w:val="single" w:color="FFC000" w:sz="4" w:space="0"/>
              <w:right w:val="single" w:color="FFC000" w:sz="4" w:space="0"/>
            </w:tcBorders>
          </w:tcPr>
          <w:p w:rsidR="00BF6A04" w:rsidP="00A82FE5" w:rsidRDefault="00BF6A04" w14:paraId="782DDF6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Tr="00A82FE5" w14:paraId="669735FA" w14:textId="77777777">
        <w:trPr>
          <w:trHeight w:val="1433"/>
        </w:trPr>
        <w:tc>
          <w:tcPr>
            <w:cnfStyle w:val="001000000000" w:firstRow="0" w:lastRow="0" w:firstColumn="1" w:lastColumn="0" w:oddVBand="0" w:evenVBand="0" w:oddHBand="0" w:evenHBand="0" w:firstRowFirstColumn="0" w:firstRowLastColumn="0" w:lastRowFirstColumn="0" w:lastRowLastColumn="0"/>
            <w:tcW w:w="1522" w:type="dxa"/>
            <w:tcBorders>
              <w:top w:val="single" w:color="FFC000" w:sz="4" w:space="0"/>
              <w:left w:val="single" w:color="FFC000" w:sz="4" w:space="0"/>
              <w:right w:val="single" w:color="FFC000" w:sz="4" w:space="0"/>
            </w:tcBorders>
          </w:tcPr>
          <w:p w:rsidR="00111FED" w:rsidP="00A82FE5" w:rsidRDefault="00111FED" w14:paraId="72019AF9" w14:textId="77777777">
            <w:pPr>
              <w:jc w:val="both"/>
              <w:rPr>
                <w:sz w:val="24"/>
                <w:szCs w:val="24"/>
              </w:rPr>
            </w:pPr>
          </w:p>
        </w:tc>
        <w:tc>
          <w:tcPr>
            <w:tcW w:w="1706" w:type="dxa"/>
            <w:tcBorders>
              <w:top w:val="single" w:color="FFC000" w:sz="4" w:space="0"/>
              <w:left w:val="single" w:color="FFC000" w:sz="4" w:space="0"/>
              <w:right w:val="single" w:color="FFC000" w:sz="4" w:space="0"/>
            </w:tcBorders>
          </w:tcPr>
          <w:p w:rsidR="00111FED" w:rsidP="00A82FE5" w:rsidRDefault="00111FED" w14:paraId="42A3476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Borders>
              <w:top w:val="single" w:color="FFC000" w:sz="4" w:space="0"/>
              <w:left w:val="single" w:color="FFC000" w:sz="4" w:space="0"/>
              <w:right w:val="single" w:color="FFC000" w:sz="4" w:space="0"/>
            </w:tcBorders>
          </w:tcPr>
          <w:p w:rsidR="00111FED" w:rsidP="00A82FE5" w:rsidRDefault="00111FED" w14:paraId="0CF6371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Borders>
              <w:top w:val="single" w:color="FFC000" w:sz="4" w:space="0"/>
              <w:left w:val="single" w:color="FFC000" w:sz="4" w:space="0"/>
              <w:right w:val="single" w:color="FFC000" w:sz="4" w:space="0"/>
            </w:tcBorders>
          </w:tcPr>
          <w:p w:rsidR="00111FED" w:rsidP="00A82FE5" w:rsidRDefault="00111FED" w14:paraId="5CAB776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color="FFC000" w:sz="4" w:space="0"/>
              <w:left w:val="single" w:color="FFC000" w:sz="4" w:space="0"/>
              <w:right w:val="single" w:color="FFC000" w:sz="4" w:space="0"/>
            </w:tcBorders>
          </w:tcPr>
          <w:p w:rsidR="00111FED" w:rsidP="00A82FE5" w:rsidRDefault="00111FED" w14:paraId="3911217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color="FFC000" w:sz="4" w:space="0"/>
              <w:left w:val="single" w:color="FFC000" w:sz="4" w:space="0"/>
              <w:right w:val="single" w:color="FFC000" w:sz="4" w:space="0"/>
            </w:tcBorders>
          </w:tcPr>
          <w:p w:rsidR="00111FED" w:rsidP="00A82FE5" w:rsidRDefault="00111FED" w14:paraId="613D5A5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right w:val="single" w:color="FFC000" w:sz="4" w:space="0"/>
            </w:tcBorders>
          </w:tcPr>
          <w:p w:rsidR="00111FED" w:rsidP="00A82FE5" w:rsidRDefault="00111FED" w14:paraId="09BEED4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right w:val="single" w:color="FFC000" w:sz="4" w:space="0"/>
            </w:tcBorders>
          </w:tcPr>
          <w:p w:rsidR="00111FED" w:rsidP="00A82FE5" w:rsidRDefault="00111FED" w14:paraId="7CA2AA4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right w:val="single" w:color="FFC000" w:sz="4" w:space="0"/>
            </w:tcBorders>
          </w:tcPr>
          <w:p w:rsidR="00111FED" w:rsidP="00A82FE5" w:rsidRDefault="00111FED" w14:paraId="076BDAB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Borders>
              <w:top w:val="single" w:color="FFC000" w:sz="4" w:space="0"/>
              <w:left w:val="single" w:color="FFC000" w:sz="4" w:space="0"/>
              <w:right w:val="single" w:color="FFC000" w:sz="4" w:space="0"/>
            </w:tcBorders>
          </w:tcPr>
          <w:p w:rsidR="00111FED" w:rsidP="00A82FE5" w:rsidRDefault="00111FED" w14:paraId="4FB32FE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Borders>
              <w:top w:val="single" w:color="FFC000" w:sz="4" w:space="0"/>
              <w:left w:val="single" w:color="FFC000" w:sz="4" w:space="0"/>
              <w:right w:val="single" w:color="FFC000" w:sz="4" w:space="0"/>
            </w:tcBorders>
          </w:tcPr>
          <w:p w:rsidR="00111FED" w:rsidP="00A82FE5" w:rsidRDefault="00111FED" w14:paraId="2841369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Borders>
              <w:top w:val="single" w:color="FFC000" w:sz="4" w:space="0"/>
              <w:left w:val="single" w:color="FFC000" w:sz="4" w:space="0"/>
              <w:right w:val="single" w:color="FFC000" w:sz="4" w:space="0"/>
            </w:tcBorders>
          </w:tcPr>
          <w:p w:rsidR="00111FED" w:rsidP="00A82FE5" w:rsidRDefault="00111FED" w14:paraId="68D8F76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332ABF" w14:paraId="38E66FAE" w14:textId="77777777">
        <w:trPr>
          <w:trHeight w:val="1433"/>
        </w:trPr>
        <w:tc>
          <w:tcPr>
            <w:cnfStyle w:val="001000000000" w:firstRow="0" w:lastRow="0" w:firstColumn="1" w:lastColumn="0" w:oddVBand="0" w:evenVBand="0" w:oddHBand="0" w:evenHBand="0" w:firstRowFirstColumn="0" w:firstRowLastColumn="0" w:lastRowFirstColumn="0" w:lastRowLastColumn="0"/>
            <w:tcW w:w="1522" w:type="dxa"/>
            <w:tcBorders>
              <w:top w:val="single" w:color="FFC000" w:sz="4" w:space="0"/>
              <w:left w:val="single" w:color="FFC000" w:sz="4" w:space="0"/>
              <w:bottom w:val="single" w:color="FFC000" w:sz="4" w:space="0"/>
              <w:right w:val="single" w:color="FFC000" w:sz="4" w:space="0"/>
            </w:tcBorders>
          </w:tcPr>
          <w:p w:rsidR="005D470A" w:rsidP="00A82FE5" w:rsidRDefault="005D470A" w14:paraId="386FDADC" w14:textId="77777777">
            <w:pPr>
              <w:jc w:val="both"/>
              <w:rPr>
                <w:sz w:val="24"/>
                <w:szCs w:val="24"/>
              </w:rPr>
            </w:pPr>
          </w:p>
        </w:tc>
        <w:tc>
          <w:tcPr>
            <w:tcW w:w="1706" w:type="dxa"/>
            <w:tcBorders>
              <w:top w:val="single" w:color="FFC000" w:sz="4" w:space="0"/>
              <w:left w:val="single" w:color="FFC000" w:sz="4" w:space="0"/>
              <w:bottom w:val="single" w:color="FFC000" w:sz="4" w:space="0"/>
              <w:right w:val="single" w:color="FFC000" w:sz="4" w:space="0"/>
            </w:tcBorders>
          </w:tcPr>
          <w:p w:rsidR="005D470A" w:rsidP="00A82FE5" w:rsidRDefault="005D470A" w14:paraId="362C0A6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Borders>
              <w:top w:val="single" w:color="FFC000" w:sz="4" w:space="0"/>
              <w:left w:val="single" w:color="FFC000" w:sz="4" w:space="0"/>
              <w:bottom w:val="single" w:color="FFC000" w:sz="4" w:space="0"/>
              <w:right w:val="single" w:color="FFC000" w:sz="4" w:space="0"/>
            </w:tcBorders>
          </w:tcPr>
          <w:p w:rsidR="005D470A" w:rsidP="00A82FE5" w:rsidRDefault="005D470A" w14:paraId="5298F60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Borders>
              <w:top w:val="single" w:color="FFC000" w:sz="4" w:space="0"/>
              <w:left w:val="single" w:color="FFC000" w:sz="4" w:space="0"/>
              <w:bottom w:val="single" w:color="FFC000" w:sz="4" w:space="0"/>
              <w:right w:val="single" w:color="FFC000" w:sz="12" w:space="0"/>
            </w:tcBorders>
          </w:tcPr>
          <w:p w:rsidR="005D470A" w:rsidP="00A82FE5" w:rsidRDefault="005D470A" w14:paraId="5122483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color="FFC000" w:sz="4" w:space="0"/>
              <w:left w:val="single" w:color="FFC000" w:sz="12" w:space="0"/>
              <w:bottom w:val="single" w:color="FFC000" w:sz="4" w:space="0"/>
              <w:right w:val="single" w:color="FFC000" w:sz="4" w:space="0"/>
            </w:tcBorders>
          </w:tcPr>
          <w:p w:rsidR="005D470A" w:rsidP="00A82FE5" w:rsidRDefault="005D470A" w14:paraId="2B3A887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color="FFC000" w:sz="4" w:space="0"/>
              <w:left w:val="single" w:color="FFC000" w:sz="4" w:space="0"/>
              <w:bottom w:val="single" w:color="FFC000" w:sz="4" w:space="0"/>
              <w:right w:val="single" w:color="FFC000" w:sz="4" w:space="0"/>
            </w:tcBorders>
          </w:tcPr>
          <w:p w:rsidR="005D470A" w:rsidP="00A82FE5" w:rsidRDefault="005D470A" w14:paraId="7F91B5B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5D470A" w:rsidP="00A82FE5" w:rsidRDefault="005D470A" w14:paraId="13F5E73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5D470A" w:rsidP="00A82FE5" w:rsidRDefault="005D470A" w14:paraId="5BB3A41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color="FFC000" w:sz="4" w:space="0"/>
              <w:left w:val="single" w:color="FFC000" w:sz="4" w:space="0"/>
              <w:bottom w:val="single" w:color="FFC000" w:sz="4" w:space="0"/>
              <w:right w:val="single" w:color="FFC000" w:sz="4" w:space="0"/>
            </w:tcBorders>
          </w:tcPr>
          <w:p w:rsidR="005D470A" w:rsidP="00A82FE5" w:rsidRDefault="005D470A" w14:paraId="15ABA76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Borders>
              <w:top w:val="single" w:color="FFC000" w:sz="4" w:space="0"/>
              <w:left w:val="single" w:color="FFC000" w:sz="4" w:space="0"/>
              <w:bottom w:val="single" w:color="FFC000" w:sz="4" w:space="0"/>
              <w:right w:val="single" w:color="FFC000" w:sz="4" w:space="0"/>
            </w:tcBorders>
          </w:tcPr>
          <w:p w:rsidR="005D470A" w:rsidP="00A82FE5" w:rsidRDefault="005D470A" w14:paraId="7542F7F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Borders>
              <w:top w:val="single" w:color="FFC000" w:sz="4" w:space="0"/>
              <w:left w:val="single" w:color="FFC000" w:sz="4" w:space="0"/>
              <w:bottom w:val="single" w:color="FFC000" w:sz="4" w:space="0"/>
              <w:right w:val="single" w:color="FFC000" w:sz="4" w:space="0"/>
            </w:tcBorders>
          </w:tcPr>
          <w:p w:rsidR="005D470A" w:rsidP="00A82FE5" w:rsidRDefault="005D470A" w14:paraId="252F596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Borders>
              <w:top w:val="single" w:color="FFC000" w:sz="4" w:space="0"/>
              <w:left w:val="single" w:color="FFC000" w:sz="4" w:space="0"/>
              <w:bottom w:val="single" w:color="FFC000" w:sz="4" w:space="0"/>
              <w:right w:val="single" w:color="FFC000" w:sz="4" w:space="0"/>
            </w:tcBorders>
          </w:tcPr>
          <w:p w:rsidR="005D470A" w:rsidP="00A82FE5" w:rsidRDefault="005D470A" w14:paraId="2485B7B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5D470A" w:rsidP="00C71C24" w:rsidRDefault="005D470A" w14:paraId="1D7C2C19" w14:textId="698FB4C2">
      <w:pPr>
        <w:jc w:val="both"/>
        <w:rPr>
          <w:sz w:val="24"/>
          <w:szCs w:val="24"/>
        </w:rPr>
      </w:pPr>
    </w:p>
    <w:p w:rsidR="00112BBF" w:rsidP="00C71C24" w:rsidRDefault="00112BBF" w14:paraId="491664C5" w14:textId="77777777">
      <w:pPr>
        <w:jc w:val="both"/>
        <w:rPr>
          <w:sz w:val="24"/>
          <w:szCs w:val="24"/>
        </w:rPr>
      </w:pPr>
    </w:p>
    <w:tbl>
      <w:tblPr>
        <w:tblStyle w:val="GridTable1Light-Accent5"/>
        <w:tblW w:w="15300" w:type="dxa"/>
        <w:tblInd w:w="-365" w:type="dxa"/>
        <w:tblLook w:val="04A0" w:firstRow="1" w:lastRow="0" w:firstColumn="1" w:lastColumn="0" w:noHBand="0" w:noVBand="1"/>
      </w:tblPr>
      <w:tblGrid>
        <w:gridCol w:w="1703"/>
        <w:gridCol w:w="1404"/>
        <w:gridCol w:w="1680"/>
        <w:gridCol w:w="2839"/>
        <w:gridCol w:w="1194"/>
        <w:gridCol w:w="1243"/>
        <w:gridCol w:w="768"/>
        <w:gridCol w:w="850"/>
        <w:gridCol w:w="768"/>
        <w:gridCol w:w="768"/>
        <w:gridCol w:w="1076"/>
        <w:gridCol w:w="1007"/>
      </w:tblGrid>
      <w:tr w:rsidRPr="00F62CB7" w:rsidR="00BF6A04" w:rsidTr="00A82FE5" w14:paraId="6238C4EB"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300" w:type="dxa"/>
            <w:gridSpan w:val="12"/>
            <w:vAlign w:val="center"/>
          </w:tcPr>
          <w:p w:rsidRPr="00F62CB7" w:rsidR="00BF6A04" w:rsidP="00A82FE5" w:rsidRDefault="00BF6A04" w14:paraId="3179B519" w14:textId="77777777">
            <w:pPr>
              <w:jc w:val="center"/>
              <w:rPr>
                <w:b w:val="0"/>
                <w:bCs w:val="0"/>
                <w:sz w:val="22"/>
                <w:szCs w:val="22"/>
              </w:rPr>
            </w:pPr>
          </w:p>
          <w:p w:rsidRPr="00EC2B0C" w:rsidR="00BF6A04" w:rsidP="00A82FE5" w:rsidRDefault="00111FED" w14:paraId="252558B9" w14:textId="471ED631">
            <w:pPr>
              <w:jc w:val="center"/>
              <w:rPr>
                <w:b w:val="0"/>
                <w:bCs w:val="0"/>
              </w:rPr>
            </w:pPr>
            <w:r w:rsidRPr="00EC2B0C">
              <w:t xml:space="preserve">PILLAR </w:t>
            </w:r>
            <w:r>
              <w:t>4</w:t>
            </w:r>
            <w:r w:rsidRPr="00EC2B0C">
              <w:t xml:space="preserve">: </w:t>
            </w:r>
            <w:r>
              <w:t xml:space="preserve">PREPAREDNESS AND RESPONSE CAPABILITIES </w:t>
            </w:r>
          </w:p>
          <w:p w:rsidRPr="00F62CB7" w:rsidR="00BF6A04" w:rsidP="00A82FE5" w:rsidRDefault="00BF6A04" w14:paraId="24C9867A" w14:textId="77777777">
            <w:pPr>
              <w:jc w:val="center"/>
              <w:rPr>
                <w:sz w:val="22"/>
                <w:szCs w:val="22"/>
              </w:rPr>
            </w:pPr>
          </w:p>
        </w:tc>
      </w:tr>
      <w:tr w:rsidRPr="00F62CB7" w:rsidR="00BF6A04" w:rsidTr="00A82FE5" w14:paraId="7C73EB45" w14:textId="77777777">
        <w:trPr>
          <w:trHeight w:val="499"/>
        </w:trPr>
        <w:tc>
          <w:tcPr>
            <w:cnfStyle w:val="001000000000" w:firstRow="0" w:lastRow="0" w:firstColumn="1" w:lastColumn="0" w:oddVBand="0" w:evenVBand="0" w:oddHBand="0" w:evenHBand="0" w:firstRowFirstColumn="0" w:firstRowLastColumn="0" w:lastRowFirstColumn="0" w:lastRowLastColumn="0"/>
            <w:tcW w:w="1762" w:type="dxa"/>
            <w:vMerge w:val="restart"/>
            <w:vAlign w:val="center"/>
          </w:tcPr>
          <w:p w:rsidRPr="00F62CB7" w:rsidR="00BF6A04" w:rsidP="00A82FE5" w:rsidRDefault="00BF6A04" w14:paraId="36E759F7" w14:textId="77777777">
            <w:pPr>
              <w:spacing w:after="360"/>
              <w:jc w:val="center"/>
              <w:rPr>
                <w:sz w:val="22"/>
                <w:szCs w:val="22"/>
              </w:rPr>
            </w:pPr>
            <w:r w:rsidRPr="00F62CB7">
              <w:rPr>
                <w:sz w:val="22"/>
                <w:szCs w:val="22"/>
              </w:rPr>
              <w:t>Gap Identified</w:t>
            </w:r>
          </w:p>
        </w:tc>
        <w:tc>
          <w:tcPr>
            <w:tcW w:w="1256" w:type="dxa"/>
            <w:vMerge w:val="restart"/>
            <w:vAlign w:val="center"/>
          </w:tcPr>
          <w:p w:rsidRPr="00F62CB7" w:rsidR="00BF6A04" w:rsidP="00A82FE5" w:rsidRDefault="00BF6A04" w14:paraId="64733677"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Associated</w:t>
            </w:r>
            <w:r w:rsidRPr="00F62CB7">
              <w:rPr>
                <w:b/>
                <w:bCs/>
                <w:sz w:val="22"/>
                <w:szCs w:val="22"/>
              </w:rPr>
              <w:t xml:space="preserve"> Output</w:t>
            </w:r>
          </w:p>
        </w:tc>
        <w:tc>
          <w:tcPr>
            <w:tcW w:w="1753" w:type="dxa"/>
            <w:vMerge w:val="restart"/>
            <w:vAlign w:val="center"/>
          </w:tcPr>
          <w:p w:rsidRPr="00F62CB7" w:rsidR="00BF6A04" w:rsidP="00A82FE5" w:rsidRDefault="00BF6A04" w14:paraId="32FD55FD"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Output indicator</w:t>
            </w:r>
          </w:p>
        </w:tc>
        <w:tc>
          <w:tcPr>
            <w:tcW w:w="3082" w:type="dxa"/>
            <w:vMerge w:val="restart"/>
            <w:vAlign w:val="center"/>
          </w:tcPr>
          <w:p w:rsidRPr="00F62CB7" w:rsidR="00BF6A04" w:rsidP="00A82FE5" w:rsidRDefault="00BF6A04" w14:paraId="3BD88DD2"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Activities</w:t>
            </w:r>
          </w:p>
        </w:tc>
        <w:tc>
          <w:tcPr>
            <w:tcW w:w="2487" w:type="dxa"/>
            <w:gridSpan w:val="2"/>
            <w:vAlign w:val="center"/>
          </w:tcPr>
          <w:p w:rsidRPr="00F62CB7" w:rsidR="00BF6A04" w:rsidP="00A82FE5" w:rsidRDefault="00BF6A04" w14:paraId="7DC592FE"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Responsibility</w:t>
            </w:r>
          </w:p>
        </w:tc>
        <w:tc>
          <w:tcPr>
            <w:tcW w:w="3166" w:type="dxa"/>
            <w:gridSpan w:val="4"/>
            <w:vAlign w:val="center"/>
          </w:tcPr>
          <w:p w:rsidRPr="00F62CB7" w:rsidR="00BF6A04" w:rsidP="00A82FE5" w:rsidRDefault="00BF6A04" w14:paraId="1FA51515"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Implementation Timeline</w:t>
            </w:r>
          </w:p>
        </w:tc>
        <w:tc>
          <w:tcPr>
            <w:tcW w:w="1076" w:type="dxa"/>
            <w:vMerge w:val="restart"/>
            <w:vAlign w:val="center"/>
          </w:tcPr>
          <w:p w:rsidRPr="00F62CB7" w:rsidR="00BF6A04" w:rsidP="00A82FE5" w:rsidRDefault="00BF6A04" w14:paraId="1B269562"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USD / LCU</w:t>
            </w:r>
          </w:p>
        </w:tc>
        <w:tc>
          <w:tcPr>
            <w:tcW w:w="718" w:type="dxa"/>
            <w:vMerge w:val="restart"/>
            <w:vAlign w:val="center"/>
          </w:tcPr>
          <w:p w:rsidRPr="00F62CB7" w:rsidR="00BF6A04" w:rsidP="00A82FE5" w:rsidRDefault="00BF6A04" w14:paraId="323D8068"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Source</w:t>
            </w:r>
          </w:p>
        </w:tc>
      </w:tr>
      <w:tr w:rsidR="00BF6A04" w:rsidTr="00A82FE5" w14:paraId="571E7575" w14:textId="77777777">
        <w:tc>
          <w:tcPr>
            <w:cnfStyle w:val="001000000000" w:firstRow="0" w:lastRow="0" w:firstColumn="1" w:lastColumn="0" w:oddVBand="0" w:evenVBand="0" w:oddHBand="0" w:evenHBand="0" w:firstRowFirstColumn="0" w:firstRowLastColumn="0" w:lastRowFirstColumn="0" w:lastRowLastColumn="0"/>
            <w:tcW w:w="1762" w:type="dxa"/>
            <w:vMerge/>
          </w:tcPr>
          <w:p w:rsidR="00BF6A04" w:rsidP="00A82FE5" w:rsidRDefault="00BF6A04" w14:paraId="0615BFF0" w14:textId="77777777">
            <w:pPr>
              <w:jc w:val="center"/>
              <w:rPr>
                <w:sz w:val="24"/>
                <w:szCs w:val="24"/>
              </w:rPr>
            </w:pPr>
          </w:p>
        </w:tc>
        <w:tc>
          <w:tcPr>
            <w:tcW w:w="1256" w:type="dxa"/>
            <w:vMerge/>
          </w:tcPr>
          <w:p w:rsidR="00BF6A04" w:rsidP="00A82FE5" w:rsidRDefault="00BF6A04" w14:paraId="0B71160F"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753" w:type="dxa"/>
            <w:vMerge/>
          </w:tcPr>
          <w:p w:rsidR="00BF6A04" w:rsidP="00A82FE5" w:rsidRDefault="00BF6A04" w14:paraId="0C67F5F3"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82" w:type="dxa"/>
            <w:vMerge/>
          </w:tcPr>
          <w:p w:rsidR="00BF6A04" w:rsidP="00A82FE5" w:rsidRDefault="00BF6A04" w14:paraId="0B531D1C"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34" w:type="dxa"/>
            <w:vAlign w:val="center"/>
          </w:tcPr>
          <w:p w:rsidRPr="00F62CB7" w:rsidR="00BF6A04" w:rsidP="00A82FE5" w:rsidRDefault="00BF6A04" w14:paraId="0E9066A2"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Lead</w:t>
            </w:r>
          </w:p>
        </w:tc>
        <w:tc>
          <w:tcPr>
            <w:tcW w:w="1253" w:type="dxa"/>
            <w:vAlign w:val="center"/>
          </w:tcPr>
          <w:p w:rsidRPr="00F62CB7" w:rsidR="00BF6A04" w:rsidP="00A82FE5" w:rsidRDefault="00BF6A04" w14:paraId="54BE15D0"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Support</w:t>
            </w:r>
          </w:p>
        </w:tc>
        <w:tc>
          <w:tcPr>
            <w:tcW w:w="768" w:type="dxa"/>
            <w:vAlign w:val="center"/>
          </w:tcPr>
          <w:p w:rsidRPr="00F62CB7" w:rsidR="00BF6A04" w:rsidP="00A82FE5" w:rsidRDefault="00BF6A04" w14:paraId="1B57B8E9"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1</w:t>
            </w:r>
          </w:p>
        </w:tc>
        <w:tc>
          <w:tcPr>
            <w:tcW w:w="862" w:type="dxa"/>
            <w:vAlign w:val="center"/>
          </w:tcPr>
          <w:p w:rsidRPr="00F62CB7" w:rsidR="00BF6A04" w:rsidP="00A82FE5" w:rsidRDefault="00BF6A04" w14:paraId="0F5D8F26"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2</w:t>
            </w:r>
          </w:p>
        </w:tc>
        <w:tc>
          <w:tcPr>
            <w:tcW w:w="768" w:type="dxa"/>
            <w:vAlign w:val="center"/>
          </w:tcPr>
          <w:p w:rsidRPr="00F62CB7" w:rsidR="00BF6A04" w:rsidP="00A82FE5" w:rsidRDefault="00BF6A04" w14:paraId="134969BE"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3</w:t>
            </w:r>
          </w:p>
        </w:tc>
        <w:tc>
          <w:tcPr>
            <w:tcW w:w="768" w:type="dxa"/>
            <w:vAlign w:val="center"/>
          </w:tcPr>
          <w:p w:rsidRPr="00F62CB7" w:rsidR="00BF6A04" w:rsidP="00A82FE5" w:rsidRDefault="00BF6A04" w14:paraId="026A55B3"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4</w:t>
            </w:r>
          </w:p>
        </w:tc>
        <w:tc>
          <w:tcPr>
            <w:tcW w:w="1076" w:type="dxa"/>
            <w:vMerge/>
          </w:tcPr>
          <w:p w:rsidR="00BF6A04" w:rsidP="00A82FE5" w:rsidRDefault="00BF6A04" w14:paraId="446665EE"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18" w:type="dxa"/>
            <w:vMerge/>
          </w:tcPr>
          <w:p w:rsidR="00BF6A04" w:rsidP="00A82FE5" w:rsidRDefault="00BF6A04" w14:paraId="27613441"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Pr="00F62CB7" w:rsidR="00BF6A04" w:rsidTr="00A82FE5" w14:paraId="295F6817" w14:textId="77777777">
        <w:trPr>
          <w:trHeight w:val="740"/>
        </w:trPr>
        <w:tc>
          <w:tcPr>
            <w:cnfStyle w:val="001000000000" w:firstRow="0" w:lastRow="0" w:firstColumn="1" w:lastColumn="0" w:oddVBand="0" w:evenVBand="0" w:oddHBand="0" w:evenHBand="0" w:firstRowFirstColumn="0" w:firstRowLastColumn="0" w:lastRowFirstColumn="0" w:lastRowLastColumn="0"/>
            <w:tcW w:w="1762" w:type="dxa"/>
            <w:vMerge w:val="restart"/>
          </w:tcPr>
          <w:p w:rsidRPr="002623C7" w:rsidR="00BF6A04" w:rsidP="00A82FE5" w:rsidRDefault="00BF6A04" w14:paraId="468CED29" w14:textId="77777777">
            <w:pPr>
              <w:rPr>
                <w:b w:val="0"/>
                <w:bCs w:val="0"/>
                <w:i/>
                <w:iCs/>
                <w:sz w:val="20"/>
                <w:szCs w:val="20"/>
              </w:rPr>
            </w:pPr>
          </w:p>
        </w:tc>
        <w:tc>
          <w:tcPr>
            <w:tcW w:w="1256" w:type="dxa"/>
            <w:vMerge w:val="restart"/>
          </w:tcPr>
          <w:p w:rsidRPr="002623C7" w:rsidR="00BF6A04" w:rsidP="00A82FE5" w:rsidRDefault="00BF6A04" w14:paraId="277307B3"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753" w:type="dxa"/>
            <w:vMerge w:val="restart"/>
          </w:tcPr>
          <w:p w:rsidRPr="002623C7" w:rsidR="00BF6A04" w:rsidP="00A82FE5" w:rsidRDefault="00BF6A04" w14:paraId="02FB34A6"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3082" w:type="dxa"/>
          </w:tcPr>
          <w:p w:rsidRPr="00112BBF" w:rsidR="00BF6A04" w:rsidP="00A82FE5" w:rsidRDefault="00BF6A04" w14:paraId="7A1F76E1"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234" w:type="dxa"/>
            <w:vAlign w:val="center"/>
          </w:tcPr>
          <w:p w:rsidRPr="002623C7" w:rsidR="00BF6A04" w:rsidP="00A82FE5" w:rsidRDefault="00BF6A04" w14:paraId="242086E2"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253" w:type="dxa"/>
            <w:vAlign w:val="center"/>
          </w:tcPr>
          <w:p w:rsidRPr="002623C7" w:rsidR="00BF6A04" w:rsidP="00A82FE5" w:rsidRDefault="00BF6A04" w14:paraId="0EE3614C"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768" w:type="dxa"/>
            <w:vAlign w:val="center"/>
          </w:tcPr>
          <w:p w:rsidRPr="002623C7" w:rsidR="00BF6A04" w:rsidP="00A82FE5" w:rsidRDefault="00BF6A04" w14:paraId="4418683E"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862" w:type="dxa"/>
            <w:vAlign w:val="center"/>
          </w:tcPr>
          <w:p w:rsidRPr="002623C7" w:rsidR="00BF6A04" w:rsidP="00A82FE5" w:rsidRDefault="00BF6A04" w14:paraId="7763DEDF"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vAlign w:val="center"/>
          </w:tcPr>
          <w:p w:rsidRPr="002623C7" w:rsidR="00BF6A04" w:rsidP="00A82FE5" w:rsidRDefault="00BF6A04" w14:paraId="4D6A14BC"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vAlign w:val="center"/>
          </w:tcPr>
          <w:p w:rsidRPr="002623C7" w:rsidR="00BF6A04" w:rsidP="00A82FE5" w:rsidRDefault="00BF6A04" w14:paraId="79AA56B8"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vAlign w:val="center"/>
          </w:tcPr>
          <w:p w:rsidRPr="002623C7" w:rsidR="00BF6A04" w:rsidP="00A82FE5" w:rsidRDefault="00BF6A04" w14:paraId="16CDDCAA"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718" w:type="dxa"/>
            <w:vAlign w:val="center"/>
          </w:tcPr>
          <w:p w:rsidRPr="002623C7" w:rsidR="00BF6A04" w:rsidP="00A82FE5" w:rsidRDefault="00BF6A04" w14:paraId="72971722"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BF6A04" w:rsidTr="00A82FE5" w14:paraId="64C361F5" w14:textId="77777777">
        <w:trPr>
          <w:trHeight w:val="1077"/>
        </w:trPr>
        <w:tc>
          <w:tcPr>
            <w:cnfStyle w:val="001000000000" w:firstRow="0" w:lastRow="0" w:firstColumn="1" w:lastColumn="0" w:oddVBand="0" w:evenVBand="0" w:oddHBand="0" w:evenHBand="0" w:firstRowFirstColumn="0" w:firstRowLastColumn="0" w:lastRowFirstColumn="0" w:lastRowLastColumn="0"/>
            <w:tcW w:w="1762" w:type="dxa"/>
            <w:vMerge/>
          </w:tcPr>
          <w:p w:rsidRPr="002623C7" w:rsidR="00BF6A04" w:rsidP="00A82FE5" w:rsidRDefault="00BF6A04" w14:paraId="4C291432" w14:textId="77777777">
            <w:pPr>
              <w:rPr>
                <w:i/>
                <w:iCs/>
                <w:sz w:val="24"/>
                <w:szCs w:val="24"/>
              </w:rPr>
            </w:pPr>
          </w:p>
        </w:tc>
        <w:tc>
          <w:tcPr>
            <w:tcW w:w="1256" w:type="dxa"/>
            <w:vMerge/>
          </w:tcPr>
          <w:p w:rsidRPr="002623C7" w:rsidR="00BF6A04" w:rsidP="00A82FE5" w:rsidRDefault="00BF6A04" w14:paraId="5EF893D6"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753" w:type="dxa"/>
            <w:vMerge/>
          </w:tcPr>
          <w:p w:rsidRPr="002623C7" w:rsidR="00BF6A04" w:rsidP="00A82FE5" w:rsidRDefault="00BF6A04" w14:paraId="014C5223"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082" w:type="dxa"/>
          </w:tcPr>
          <w:p w:rsidRPr="002623C7" w:rsidR="00BF6A04" w:rsidP="00A82FE5" w:rsidRDefault="00BF6A04" w14:paraId="67F7B093" w14:textId="77777777">
            <w:pPr>
              <w:pStyle w:val="ListParagraph"/>
              <w:ind w:left="360"/>
              <w:cnfStyle w:val="000000000000" w:firstRow="0" w:lastRow="0" w:firstColumn="0" w:lastColumn="0" w:oddVBand="0" w:evenVBand="0" w:oddHBand="0" w:evenHBand="0" w:firstRowFirstColumn="0" w:firstRowLastColumn="0" w:lastRowFirstColumn="0" w:lastRowLastColumn="0"/>
              <w:rPr>
                <w:i/>
                <w:iCs/>
                <w:sz w:val="20"/>
                <w:szCs w:val="20"/>
              </w:rPr>
            </w:pPr>
          </w:p>
        </w:tc>
        <w:tc>
          <w:tcPr>
            <w:tcW w:w="1234" w:type="dxa"/>
          </w:tcPr>
          <w:p w:rsidRPr="002623C7" w:rsidR="00BF6A04" w:rsidP="00A82FE5" w:rsidRDefault="00BF6A04" w14:paraId="243DE985"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253" w:type="dxa"/>
          </w:tcPr>
          <w:p w:rsidRPr="002623C7" w:rsidR="00BF6A04" w:rsidP="00A82FE5" w:rsidRDefault="00BF6A04" w14:paraId="76346AC1"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BF6A04" w:rsidP="00A82FE5" w:rsidRDefault="00BF6A04" w14:paraId="53F06D57"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862" w:type="dxa"/>
          </w:tcPr>
          <w:p w:rsidRPr="002623C7" w:rsidR="00BF6A04" w:rsidP="00A82FE5" w:rsidRDefault="00BF6A04" w14:paraId="499F8CEE"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BF6A04" w:rsidP="00A82FE5" w:rsidRDefault="00BF6A04" w14:paraId="08EE56A3"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BF6A04" w:rsidP="00A82FE5" w:rsidRDefault="00BF6A04" w14:paraId="3A7E6C54"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BF6A04" w:rsidP="00A82FE5" w:rsidRDefault="00BF6A04" w14:paraId="1F0EA670"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18" w:type="dxa"/>
          </w:tcPr>
          <w:p w:rsidRPr="002623C7" w:rsidR="00BF6A04" w:rsidP="00A82FE5" w:rsidRDefault="00BF6A04" w14:paraId="1013DAF3"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rsidTr="00A82FE5" w14:paraId="09F2C70F" w14:textId="77777777">
        <w:trPr>
          <w:trHeight w:val="974"/>
        </w:trPr>
        <w:tc>
          <w:tcPr>
            <w:cnfStyle w:val="001000000000" w:firstRow="0" w:lastRow="0" w:firstColumn="1" w:lastColumn="0" w:oddVBand="0" w:evenVBand="0" w:oddHBand="0" w:evenHBand="0" w:firstRowFirstColumn="0" w:firstRowLastColumn="0" w:lastRowFirstColumn="0" w:lastRowLastColumn="0"/>
            <w:tcW w:w="1762" w:type="dxa"/>
            <w:vMerge/>
          </w:tcPr>
          <w:p w:rsidRPr="002623C7" w:rsidR="00BF6A04" w:rsidP="00A82FE5" w:rsidRDefault="00BF6A04" w14:paraId="3691F15C" w14:textId="77777777">
            <w:pPr>
              <w:rPr>
                <w:i/>
                <w:iCs/>
                <w:sz w:val="24"/>
                <w:szCs w:val="24"/>
              </w:rPr>
            </w:pPr>
          </w:p>
        </w:tc>
        <w:tc>
          <w:tcPr>
            <w:tcW w:w="1256" w:type="dxa"/>
            <w:vMerge/>
          </w:tcPr>
          <w:p w:rsidRPr="002623C7" w:rsidR="00BF6A04" w:rsidP="00A82FE5" w:rsidRDefault="00BF6A04" w14:paraId="17E52BD8"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753" w:type="dxa"/>
            <w:vMerge/>
          </w:tcPr>
          <w:p w:rsidRPr="002623C7" w:rsidR="00BF6A04" w:rsidP="00A82FE5" w:rsidRDefault="00BF6A04" w14:paraId="4DCFB3A4"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082" w:type="dxa"/>
          </w:tcPr>
          <w:p w:rsidRPr="00112BBF" w:rsidR="00BF6A04" w:rsidP="00A82FE5" w:rsidRDefault="00BF6A04" w14:paraId="342B80EE"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234" w:type="dxa"/>
          </w:tcPr>
          <w:p w:rsidRPr="002623C7" w:rsidR="00BF6A04" w:rsidP="00A82FE5" w:rsidRDefault="00BF6A04" w14:paraId="03FE08F3"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253" w:type="dxa"/>
          </w:tcPr>
          <w:p w:rsidRPr="002623C7" w:rsidR="00BF6A04" w:rsidP="00A82FE5" w:rsidRDefault="00BF6A04" w14:paraId="43AA07A0"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BF6A04" w:rsidP="00A82FE5" w:rsidRDefault="00BF6A04" w14:paraId="6CF36B8D"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62" w:type="dxa"/>
          </w:tcPr>
          <w:p w:rsidRPr="002623C7" w:rsidR="00BF6A04" w:rsidP="00A82FE5" w:rsidRDefault="00BF6A04" w14:paraId="5171E5AD"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BF6A04" w:rsidP="00A82FE5" w:rsidRDefault="00BF6A04" w14:paraId="1984F597"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rsidRPr="002623C7" w:rsidR="00BF6A04" w:rsidP="00A82FE5" w:rsidRDefault="00BF6A04" w14:paraId="1CCE703C"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BF6A04" w:rsidP="00A82FE5" w:rsidRDefault="00BF6A04" w14:paraId="36B46120"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18" w:type="dxa"/>
          </w:tcPr>
          <w:p w:rsidRPr="002623C7" w:rsidR="00BF6A04" w:rsidP="00A82FE5" w:rsidRDefault="00BF6A04" w14:paraId="40FECC5C"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rsidTr="00A82FE5" w14:paraId="18F4AA62" w14:textId="77777777">
        <w:trPr>
          <w:trHeight w:val="1433"/>
        </w:trPr>
        <w:tc>
          <w:tcPr>
            <w:cnfStyle w:val="001000000000" w:firstRow="0" w:lastRow="0" w:firstColumn="1" w:lastColumn="0" w:oddVBand="0" w:evenVBand="0" w:oddHBand="0" w:evenHBand="0" w:firstRowFirstColumn="0" w:firstRowLastColumn="0" w:lastRowFirstColumn="0" w:lastRowLastColumn="0"/>
            <w:tcW w:w="1762" w:type="dxa"/>
          </w:tcPr>
          <w:p w:rsidR="00BF6A04" w:rsidP="00A82FE5" w:rsidRDefault="00BF6A04" w14:paraId="41CB3190" w14:textId="77777777">
            <w:pPr>
              <w:jc w:val="both"/>
              <w:rPr>
                <w:sz w:val="24"/>
                <w:szCs w:val="24"/>
              </w:rPr>
            </w:pPr>
          </w:p>
        </w:tc>
        <w:tc>
          <w:tcPr>
            <w:tcW w:w="1256" w:type="dxa"/>
          </w:tcPr>
          <w:p w:rsidR="00BF6A04" w:rsidP="00A82FE5" w:rsidRDefault="00BF6A04" w14:paraId="2B39341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53" w:type="dxa"/>
          </w:tcPr>
          <w:p w:rsidR="00BF6A04" w:rsidP="00A82FE5" w:rsidRDefault="00BF6A04" w14:paraId="4C90E4F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082" w:type="dxa"/>
          </w:tcPr>
          <w:p w:rsidR="00BF6A04" w:rsidP="00A82FE5" w:rsidRDefault="00BF6A04" w14:paraId="6DADE7C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4" w:type="dxa"/>
          </w:tcPr>
          <w:p w:rsidR="00BF6A04" w:rsidP="00A82FE5" w:rsidRDefault="00BF6A04" w14:paraId="43A1684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3" w:type="dxa"/>
          </w:tcPr>
          <w:p w:rsidR="00BF6A04" w:rsidP="00A82FE5" w:rsidRDefault="00BF6A04" w14:paraId="222B360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6EC38AA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62" w:type="dxa"/>
          </w:tcPr>
          <w:p w:rsidR="00BF6A04" w:rsidP="00A82FE5" w:rsidRDefault="00BF6A04" w14:paraId="5EAAC45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583A325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4BA90D9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F6A04" w:rsidP="00A82FE5" w:rsidRDefault="00BF6A04" w14:paraId="2F7A39B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8" w:type="dxa"/>
          </w:tcPr>
          <w:p w:rsidR="00BF6A04" w:rsidP="00A82FE5" w:rsidRDefault="00BF6A04" w14:paraId="7F05B4C3"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A82FE5" w14:paraId="483A3479" w14:textId="77777777">
        <w:trPr>
          <w:trHeight w:val="1377"/>
        </w:trPr>
        <w:tc>
          <w:tcPr>
            <w:cnfStyle w:val="001000000000" w:firstRow="0" w:lastRow="0" w:firstColumn="1" w:lastColumn="0" w:oddVBand="0" w:evenVBand="0" w:oddHBand="0" w:evenHBand="0" w:firstRowFirstColumn="0" w:firstRowLastColumn="0" w:lastRowFirstColumn="0" w:lastRowLastColumn="0"/>
            <w:tcW w:w="1762" w:type="dxa"/>
          </w:tcPr>
          <w:p w:rsidR="00BF6A04" w:rsidP="00A82FE5" w:rsidRDefault="00BF6A04" w14:paraId="7D3929B8" w14:textId="77777777">
            <w:pPr>
              <w:jc w:val="both"/>
              <w:rPr>
                <w:sz w:val="24"/>
                <w:szCs w:val="24"/>
              </w:rPr>
            </w:pPr>
          </w:p>
        </w:tc>
        <w:tc>
          <w:tcPr>
            <w:tcW w:w="1256" w:type="dxa"/>
          </w:tcPr>
          <w:p w:rsidR="00BF6A04" w:rsidP="00A82FE5" w:rsidRDefault="00BF6A04" w14:paraId="150279E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53" w:type="dxa"/>
          </w:tcPr>
          <w:p w:rsidR="00BF6A04" w:rsidP="00A82FE5" w:rsidRDefault="00BF6A04" w14:paraId="1B0C12C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082" w:type="dxa"/>
          </w:tcPr>
          <w:p w:rsidR="00BF6A04" w:rsidP="00A82FE5" w:rsidRDefault="00BF6A04" w14:paraId="393A019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4" w:type="dxa"/>
          </w:tcPr>
          <w:p w:rsidR="00BF6A04" w:rsidP="00A82FE5" w:rsidRDefault="00BF6A04" w14:paraId="015AC8E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3" w:type="dxa"/>
          </w:tcPr>
          <w:p w:rsidR="00BF6A04" w:rsidP="00A82FE5" w:rsidRDefault="00BF6A04" w14:paraId="12DA2CB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56F270C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62" w:type="dxa"/>
          </w:tcPr>
          <w:p w:rsidR="00BF6A04" w:rsidP="00A82FE5" w:rsidRDefault="00BF6A04" w14:paraId="2DDD50C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1E70D99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6A57E33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F6A04" w:rsidP="00A82FE5" w:rsidRDefault="00BF6A04" w14:paraId="48B3EC9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8" w:type="dxa"/>
          </w:tcPr>
          <w:p w:rsidR="00BF6A04" w:rsidP="00A82FE5" w:rsidRDefault="00BF6A04" w14:paraId="398897F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A82FE5" w14:paraId="41395C5F" w14:textId="77777777">
        <w:trPr>
          <w:trHeight w:val="1417"/>
        </w:trPr>
        <w:tc>
          <w:tcPr>
            <w:cnfStyle w:val="001000000000" w:firstRow="0" w:lastRow="0" w:firstColumn="1" w:lastColumn="0" w:oddVBand="0" w:evenVBand="0" w:oddHBand="0" w:evenHBand="0" w:firstRowFirstColumn="0" w:firstRowLastColumn="0" w:lastRowFirstColumn="0" w:lastRowLastColumn="0"/>
            <w:tcW w:w="1762" w:type="dxa"/>
          </w:tcPr>
          <w:p w:rsidR="00BF6A04" w:rsidP="00A82FE5" w:rsidRDefault="00BF6A04" w14:paraId="7BFBCEB6" w14:textId="77777777">
            <w:pPr>
              <w:jc w:val="both"/>
              <w:rPr>
                <w:sz w:val="24"/>
                <w:szCs w:val="24"/>
              </w:rPr>
            </w:pPr>
          </w:p>
        </w:tc>
        <w:tc>
          <w:tcPr>
            <w:tcW w:w="1256" w:type="dxa"/>
          </w:tcPr>
          <w:p w:rsidR="00BF6A04" w:rsidP="00A82FE5" w:rsidRDefault="00BF6A04" w14:paraId="0636044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53" w:type="dxa"/>
          </w:tcPr>
          <w:p w:rsidR="00BF6A04" w:rsidP="00A82FE5" w:rsidRDefault="00BF6A04" w14:paraId="614E911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082" w:type="dxa"/>
          </w:tcPr>
          <w:p w:rsidR="00BF6A04" w:rsidP="00A82FE5" w:rsidRDefault="00BF6A04" w14:paraId="1E224C1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4" w:type="dxa"/>
          </w:tcPr>
          <w:p w:rsidR="00BF6A04" w:rsidP="00A82FE5" w:rsidRDefault="00BF6A04" w14:paraId="24CE1BE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3" w:type="dxa"/>
          </w:tcPr>
          <w:p w:rsidR="00BF6A04" w:rsidP="00A82FE5" w:rsidRDefault="00BF6A04" w14:paraId="1210FE9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31042EB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62" w:type="dxa"/>
          </w:tcPr>
          <w:p w:rsidR="00BF6A04" w:rsidP="00A82FE5" w:rsidRDefault="00BF6A04" w14:paraId="0880007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319F7A2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4E1CF8B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F6A04" w:rsidP="00A82FE5" w:rsidRDefault="00BF6A04" w14:paraId="487F3FB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8" w:type="dxa"/>
          </w:tcPr>
          <w:p w:rsidR="00BF6A04" w:rsidP="00A82FE5" w:rsidRDefault="00BF6A04" w14:paraId="54BBBC73"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A82FE5" w14:paraId="1529A31F" w14:textId="77777777">
        <w:trPr>
          <w:trHeight w:val="1609"/>
        </w:trPr>
        <w:tc>
          <w:tcPr>
            <w:cnfStyle w:val="001000000000" w:firstRow="0" w:lastRow="0" w:firstColumn="1" w:lastColumn="0" w:oddVBand="0" w:evenVBand="0" w:oddHBand="0" w:evenHBand="0" w:firstRowFirstColumn="0" w:firstRowLastColumn="0" w:lastRowFirstColumn="0" w:lastRowLastColumn="0"/>
            <w:tcW w:w="1762" w:type="dxa"/>
          </w:tcPr>
          <w:p w:rsidR="00BF6A04" w:rsidP="00A82FE5" w:rsidRDefault="00BF6A04" w14:paraId="5099851F" w14:textId="77777777">
            <w:pPr>
              <w:jc w:val="both"/>
              <w:rPr>
                <w:sz w:val="24"/>
                <w:szCs w:val="24"/>
              </w:rPr>
            </w:pPr>
          </w:p>
        </w:tc>
        <w:tc>
          <w:tcPr>
            <w:tcW w:w="1256" w:type="dxa"/>
          </w:tcPr>
          <w:p w:rsidR="00BF6A04" w:rsidP="00A82FE5" w:rsidRDefault="00BF6A04" w14:paraId="2C94E39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53" w:type="dxa"/>
          </w:tcPr>
          <w:p w:rsidR="00BF6A04" w:rsidP="00A82FE5" w:rsidRDefault="00BF6A04" w14:paraId="66EBA57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082" w:type="dxa"/>
          </w:tcPr>
          <w:p w:rsidR="00BF6A04" w:rsidP="00A82FE5" w:rsidRDefault="00BF6A04" w14:paraId="7938AED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4" w:type="dxa"/>
          </w:tcPr>
          <w:p w:rsidR="00BF6A04" w:rsidP="00A82FE5" w:rsidRDefault="00BF6A04" w14:paraId="0E9910D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3" w:type="dxa"/>
          </w:tcPr>
          <w:p w:rsidR="00BF6A04" w:rsidP="00A82FE5" w:rsidRDefault="00BF6A04" w14:paraId="212765D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7F7BA8B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62" w:type="dxa"/>
          </w:tcPr>
          <w:p w:rsidR="00BF6A04" w:rsidP="00A82FE5" w:rsidRDefault="00BF6A04" w14:paraId="4605A2F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6148E59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449DD81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F6A04" w:rsidP="00A82FE5" w:rsidRDefault="00BF6A04" w14:paraId="767776D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8" w:type="dxa"/>
          </w:tcPr>
          <w:p w:rsidR="00BF6A04" w:rsidP="00A82FE5" w:rsidRDefault="00BF6A04" w14:paraId="6018094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Tr="00A82FE5" w14:paraId="1D5A1808" w14:textId="77777777">
        <w:trPr>
          <w:trHeight w:val="1246"/>
        </w:trPr>
        <w:tc>
          <w:tcPr>
            <w:cnfStyle w:val="001000000000" w:firstRow="0" w:lastRow="0" w:firstColumn="1" w:lastColumn="0" w:oddVBand="0" w:evenVBand="0" w:oddHBand="0" w:evenHBand="0" w:firstRowFirstColumn="0" w:firstRowLastColumn="0" w:lastRowFirstColumn="0" w:lastRowLastColumn="0"/>
            <w:tcW w:w="1762" w:type="dxa"/>
          </w:tcPr>
          <w:p w:rsidR="00BF6A04" w:rsidP="00A82FE5" w:rsidRDefault="00BF6A04" w14:paraId="79638F0F" w14:textId="77777777">
            <w:pPr>
              <w:jc w:val="both"/>
              <w:rPr>
                <w:sz w:val="24"/>
                <w:szCs w:val="24"/>
              </w:rPr>
            </w:pPr>
          </w:p>
        </w:tc>
        <w:tc>
          <w:tcPr>
            <w:tcW w:w="1256" w:type="dxa"/>
          </w:tcPr>
          <w:p w:rsidR="00BF6A04" w:rsidP="00A82FE5" w:rsidRDefault="00BF6A04" w14:paraId="7B74387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53" w:type="dxa"/>
          </w:tcPr>
          <w:p w:rsidR="00BF6A04" w:rsidP="00A82FE5" w:rsidRDefault="00BF6A04" w14:paraId="34A8385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082" w:type="dxa"/>
          </w:tcPr>
          <w:p w:rsidR="00BF6A04" w:rsidP="00A82FE5" w:rsidRDefault="00BF6A04" w14:paraId="3485C06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4" w:type="dxa"/>
          </w:tcPr>
          <w:p w:rsidR="00BF6A04" w:rsidP="00A82FE5" w:rsidRDefault="00BF6A04" w14:paraId="0A336A7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3" w:type="dxa"/>
          </w:tcPr>
          <w:p w:rsidR="00BF6A04" w:rsidP="00A82FE5" w:rsidRDefault="00BF6A04" w14:paraId="718732E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6AB907E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62" w:type="dxa"/>
          </w:tcPr>
          <w:p w:rsidR="00BF6A04" w:rsidP="00A82FE5" w:rsidRDefault="00BF6A04" w14:paraId="5770510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0AE150E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F6A04" w:rsidP="00A82FE5" w:rsidRDefault="00BF6A04" w14:paraId="00E9CC8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F6A04" w:rsidP="00A82FE5" w:rsidRDefault="00BF6A04" w14:paraId="2458B86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8" w:type="dxa"/>
          </w:tcPr>
          <w:p w:rsidR="00BF6A04" w:rsidP="00A82FE5" w:rsidRDefault="00BF6A04" w14:paraId="7AA815D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5D470A" w:rsidP="00C71C24" w:rsidRDefault="005D470A" w14:paraId="0963C5B8" w14:textId="04097601">
      <w:pPr>
        <w:jc w:val="both"/>
        <w:rPr>
          <w:sz w:val="24"/>
          <w:szCs w:val="24"/>
        </w:rPr>
      </w:pPr>
    </w:p>
    <w:p w:rsidR="00B96D6D" w:rsidP="00A97583" w:rsidRDefault="00B96D6D" w14:paraId="4FD48721" w14:textId="77777777">
      <w:pPr>
        <w:tabs>
          <w:tab w:val="left" w:pos="3978"/>
        </w:tabs>
        <w:jc w:val="both"/>
        <w:rPr>
          <w:sz w:val="24"/>
          <w:szCs w:val="24"/>
        </w:rPr>
      </w:pPr>
    </w:p>
    <w:tbl>
      <w:tblPr>
        <w:tblStyle w:val="GridTable1Light-Accent1"/>
        <w:tblW w:w="15840" w:type="dxa"/>
        <w:tblInd w:w="-725" w:type="dxa"/>
        <w:tblLook w:val="04A0" w:firstRow="1" w:lastRow="0" w:firstColumn="1" w:lastColumn="0" w:noHBand="0" w:noVBand="1"/>
      </w:tblPr>
      <w:tblGrid>
        <w:gridCol w:w="1522"/>
        <w:gridCol w:w="1706"/>
        <w:gridCol w:w="1963"/>
        <w:gridCol w:w="3201"/>
        <w:gridCol w:w="932"/>
        <w:gridCol w:w="1176"/>
        <w:gridCol w:w="768"/>
        <w:gridCol w:w="768"/>
        <w:gridCol w:w="768"/>
        <w:gridCol w:w="775"/>
        <w:gridCol w:w="1076"/>
        <w:gridCol w:w="1185"/>
      </w:tblGrid>
      <w:tr w:rsidRPr="00F62CB7" w:rsidR="00B96D6D" w:rsidTr="00A82FE5" w14:paraId="28EE7F71"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840" w:type="dxa"/>
            <w:gridSpan w:val="12"/>
          </w:tcPr>
          <w:p w:rsidRPr="00F62CB7" w:rsidR="00B96D6D" w:rsidP="00A82FE5" w:rsidRDefault="00B96D6D" w14:paraId="41289EDA" w14:textId="77777777">
            <w:pPr>
              <w:jc w:val="center"/>
              <w:rPr>
                <w:b w:val="0"/>
                <w:bCs w:val="0"/>
                <w:sz w:val="22"/>
                <w:szCs w:val="22"/>
              </w:rPr>
            </w:pPr>
          </w:p>
          <w:p w:rsidRPr="00EC2B0C" w:rsidR="00B96D6D" w:rsidP="00A82FE5" w:rsidRDefault="00B96D6D" w14:paraId="4E62E8A3" w14:textId="4C7B319C">
            <w:pPr>
              <w:jc w:val="center"/>
              <w:rPr>
                <w:b w:val="0"/>
                <w:bCs w:val="0"/>
              </w:rPr>
            </w:pPr>
            <w:r>
              <w:t>INTER-</w:t>
            </w:r>
            <w:r w:rsidRPr="00EC2B0C">
              <w:t>PILLAR</w:t>
            </w:r>
            <w:r>
              <w:t>: GOVERNANCE, COORDINATION, ADVOCACY M&amp;E AND FINANCING FOR EWS</w:t>
            </w:r>
          </w:p>
          <w:p w:rsidRPr="00F62CB7" w:rsidR="00B96D6D" w:rsidP="00A82FE5" w:rsidRDefault="00B96D6D" w14:paraId="43838E14" w14:textId="77777777">
            <w:pPr>
              <w:jc w:val="center"/>
              <w:rPr>
                <w:sz w:val="22"/>
                <w:szCs w:val="22"/>
              </w:rPr>
            </w:pPr>
          </w:p>
        </w:tc>
      </w:tr>
      <w:tr w:rsidRPr="00F62CB7" w:rsidR="00B96D6D" w:rsidTr="00ED3CFD" w14:paraId="631D7C3D" w14:textId="77777777">
        <w:trPr>
          <w:trHeight w:val="484"/>
        </w:trPr>
        <w:tc>
          <w:tcPr>
            <w:cnfStyle w:val="001000000000" w:firstRow="0" w:lastRow="0" w:firstColumn="1" w:lastColumn="0" w:oddVBand="0" w:evenVBand="0" w:oddHBand="0" w:evenHBand="0" w:firstRowFirstColumn="0" w:firstRowLastColumn="0" w:lastRowFirstColumn="0" w:lastRowLastColumn="0"/>
            <w:tcW w:w="1522" w:type="dxa"/>
            <w:vMerge w:val="restart"/>
            <w:vAlign w:val="center"/>
          </w:tcPr>
          <w:p w:rsidRPr="00F62CB7" w:rsidR="00B96D6D" w:rsidP="00ED3CFD" w:rsidRDefault="00B96D6D" w14:paraId="609BD449" w14:textId="77777777">
            <w:pPr>
              <w:spacing w:after="360"/>
              <w:jc w:val="center"/>
              <w:rPr>
                <w:sz w:val="22"/>
                <w:szCs w:val="22"/>
              </w:rPr>
            </w:pPr>
            <w:r w:rsidRPr="00F62CB7">
              <w:rPr>
                <w:sz w:val="22"/>
                <w:szCs w:val="22"/>
              </w:rPr>
              <w:t>Gap Identified</w:t>
            </w:r>
          </w:p>
        </w:tc>
        <w:tc>
          <w:tcPr>
            <w:tcW w:w="1706" w:type="dxa"/>
            <w:vMerge w:val="restart"/>
            <w:vAlign w:val="center"/>
          </w:tcPr>
          <w:p w:rsidRPr="00F62CB7" w:rsidR="00B96D6D" w:rsidP="00ED3CFD" w:rsidRDefault="00180247" w14:paraId="552BE43D" w14:textId="565FAA1A">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Associated</w:t>
            </w:r>
            <w:r w:rsidRPr="00F62CB7">
              <w:rPr>
                <w:b/>
                <w:bCs/>
                <w:sz w:val="22"/>
                <w:szCs w:val="22"/>
              </w:rPr>
              <w:t xml:space="preserve"> </w:t>
            </w:r>
            <w:r w:rsidRPr="00F62CB7" w:rsidR="00B96D6D">
              <w:rPr>
                <w:b/>
                <w:bCs/>
                <w:sz w:val="22"/>
                <w:szCs w:val="22"/>
              </w:rPr>
              <w:t>Output</w:t>
            </w:r>
          </w:p>
        </w:tc>
        <w:tc>
          <w:tcPr>
            <w:tcW w:w="1963" w:type="dxa"/>
            <w:vMerge w:val="restart"/>
            <w:vAlign w:val="center"/>
          </w:tcPr>
          <w:p w:rsidRPr="00F62CB7" w:rsidR="00B96D6D" w:rsidP="00ED3CFD" w:rsidRDefault="00B96D6D" w14:paraId="0FDFCB55"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Output indicator</w:t>
            </w:r>
          </w:p>
        </w:tc>
        <w:tc>
          <w:tcPr>
            <w:tcW w:w="3201" w:type="dxa"/>
            <w:vMerge w:val="restart"/>
            <w:vAlign w:val="center"/>
          </w:tcPr>
          <w:p w:rsidRPr="00F62CB7" w:rsidR="00B96D6D" w:rsidP="00ED3CFD" w:rsidRDefault="00B96D6D" w14:paraId="1788472F"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Activities</w:t>
            </w:r>
          </w:p>
        </w:tc>
        <w:tc>
          <w:tcPr>
            <w:tcW w:w="2108" w:type="dxa"/>
            <w:gridSpan w:val="2"/>
            <w:vAlign w:val="center"/>
          </w:tcPr>
          <w:p w:rsidRPr="00F62CB7" w:rsidR="00B96D6D" w:rsidP="00ED3CFD" w:rsidRDefault="00B96D6D" w14:paraId="621F9E9A"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Responsibility</w:t>
            </w:r>
          </w:p>
        </w:tc>
        <w:tc>
          <w:tcPr>
            <w:tcW w:w="3079" w:type="dxa"/>
            <w:gridSpan w:val="4"/>
            <w:vAlign w:val="center"/>
          </w:tcPr>
          <w:p w:rsidRPr="00F62CB7" w:rsidR="00B96D6D" w:rsidP="00ED3CFD" w:rsidRDefault="00B96D6D" w14:paraId="7214738D" w14:textId="7777777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Implementation Timeline</w:t>
            </w:r>
          </w:p>
        </w:tc>
        <w:tc>
          <w:tcPr>
            <w:tcW w:w="1076" w:type="dxa"/>
            <w:vMerge w:val="restart"/>
            <w:vAlign w:val="center"/>
          </w:tcPr>
          <w:p w:rsidRPr="00F62CB7" w:rsidR="00B96D6D" w:rsidP="00ED3CFD" w:rsidRDefault="00B96D6D" w14:paraId="15A1E0DC"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USD / LCU</w:t>
            </w:r>
          </w:p>
        </w:tc>
        <w:tc>
          <w:tcPr>
            <w:tcW w:w="1185" w:type="dxa"/>
            <w:vMerge w:val="restart"/>
            <w:vAlign w:val="center"/>
          </w:tcPr>
          <w:p w:rsidRPr="00F62CB7" w:rsidR="00B96D6D" w:rsidP="00ED3CFD" w:rsidRDefault="00B96D6D" w14:paraId="7E3C1C7A" w14:textId="77777777">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Budget Source</w:t>
            </w:r>
          </w:p>
        </w:tc>
      </w:tr>
      <w:tr w:rsidR="00B96D6D" w:rsidTr="00ED3CFD" w14:paraId="4A2AD08D" w14:textId="77777777">
        <w:tc>
          <w:tcPr>
            <w:cnfStyle w:val="001000000000" w:firstRow="0" w:lastRow="0" w:firstColumn="1" w:lastColumn="0" w:oddVBand="0" w:evenVBand="0" w:oddHBand="0" w:evenHBand="0" w:firstRowFirstColumn="0" w:firstRowLastColumn="0" w:lastRowFirstColumn="0" w:lastRowLastColumn="0"/>
            <w:tcW w:w="1522" w:type="dxa"/>
            <w:vMerge/>
            <w:vAlign w:val="center"/>
          </w:tcPr>
          <w:p w:rsidR="00B96D6D" w:rsidP="00ED3CFD" w:rsidRDefault="00B96D6D" w14:paraId="7D341D2D" w14:textId="77777777">
            <w:pPr>
              <w:jc w:val="center"/>
              <w:rPr>
                <w:sz w:val="24"/>
                <w:szCs w:val="24"/>
              </w:rPr>
            </w:pPr>
          </w:p>
        </w:tc>
        <w:tc>
          <w:tcPr>
            <w:tcW w:w="1706" w:type="dxa"/>
            <w:vMerge/>
            <w:vAlign w:val="center"/>
          </w:tcPr>
          <w:p w:rsidR="00B96D6D" w:rsidP="00ED3CFD" w:rsidRDefault="00B96D6D" w14:paraId="53505290"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vMerge/>
            <w:vAlign w:val="center"/>
          </w:tcPr>
          <w:p w:rsidR="00B96D6D" w:rsidP="00ED3CFD" w:rsidRDefault="00B96D6D" w14:paraId="4B7C4B08"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vMerge/>
            <w:vAlign w:val="center"/>
          </w:tcPr>
          <w:p w:rsidR="00B96D6D" w:rsidP="00ED3CFD" w:rsidRDefault="00B96D6D" w14:paraId="7A57613F"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vAlign w:val="center"/>
          </w:tcPr>
          <w:p w:rsidRPr="00F62CB7" w:rsidR="00B96D6D" w:rsidP="00ED3CFD" w:rsidRDefault="00B96D6D" w14:paraId="053AAAF2"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Lead</w:t>
            </w:r>
          </w:p>
        </w:tc>
        <w:tc>
          <w:tcPr>
            <w:tcW w:w="1176" w:type="dxa"/>
            <w:vAlign w:val="center"/>
          </w:tcPr>
          <w:p w:rsidRPr="00F62CB7" w:rsidR="00B96D6D" w:rsidP="00ED3CFD" w:rsidRDefault="00B96D6D" w14:paraId="36BCBF89"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Support</w:t>
            </w:r>
          </w:p>
        </w:tc>
        <w:tc>
          <w:tcPr>
            <w:tcW w:w="768" w:type="dxa"/>
            <w:vAlign w:val="center"/>
          </w:tcPr>
          <w:p w:rsidRPr="00F62CB7" w:rsidR="00B96D6D" w:rsidP="00ED3CFD" w:rsidRDefault="00B96D6D" w14:paraId="020CB866"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1</w:t>
            </w:r>
          </w:p>
        </w:tc>
        <w:tc>
          <w:tcPr>
            <w:tcW w:w="768" w:type="dxa"/>
            <w:vAlign w:val="center"/>
          </w:tcPr>
          <w:p w:rsidRPr="00F62CB7" w:rsidR="00B96D6D" w:rsidP="00ED3CFD" w:rsidRDefault="00B96D6D" w14:paraId="3D0ADB6D"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2</w:t>
            </w:r>
          </w:p>
        </w:tc>
        <w:tc>
          <w:tcPr>
            <w:tcW w:w="768" w:type="dxa"/>
            <w:vAlign w:val="center"/>
          </w:tcPr>
          <w:p w:rsidRPr="00F62CB7" w:rsidR="00B96D6D" w:rsidP="00ED3CFD" w:rsidRDefault="00B96D6D" w14:paraId="6490AB2E"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3</w:t>
            </w:r>
          </w:p>
        </w:tc>
        <w:tc>
          <w:tcPr>
            <w:tcW w:w="775" w:type="dxa"/>
            <w:vAlign w:val="center"/>
          </w:tcPr>
          <w:p w:rsidRPr="00F62CB7" w:rsidR="00B96D6D" w:rsidP="00ED3CFD" w:rsidRDefault="00B96D6D" w14:paraId="1D03F89A" w14:textId="77777777">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62CB7">
              <w:rPr>
                <w:b/>
                <w:bCs/>
                <w:sz w:val="24"/>
                <w:szCs w:val="24"/>
              </w:rPr>
              <w:t>Year 4</w:t>
            </w:r>
          </w:p>
        </w:tc>
        <w:tc>
          <w:tcPr>
            <w:tcW w:w="1076" w:type="dxa"/>
            <w:vMerge/>
            <w:vAlign w:val="center"/>
          </w:tcPr>
          <w:p w:rsidR="00B96D6D" w:rsidP="00ED3CFD" w:rsidRDefault="00B96D6D" w14:paraId="3C64ED35"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vMerge/>
            <w:vAlign w:val="center"/>
          </w:tcPr>
          <w:p w:rsidR="00B96D6D" w:rsidP="00ED3CFD" w:rsidRDefault="00B96D6D" w14:paraId="06ECEC1D" w14:textId="7777777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Pr="00F62CB7" w:rsidR="00B96D6D" w:rsidTr="00ED3CFD" w14:paraId="0A30D0C2" w14:textId="77777777">
        <w:trPr>
          <w:trHeight w:val="1100"/>
        </w:trPr>
        <w:tc>
          <w:tcPr>
            <w:cnfStyle w:val="001000000000" w:firstRow="0" w:lastRow="0" w:firstColumn="1" w:lastColumn="0" w:oddVBand="0" w:evenVBand="0" w:oddHBand="0" w:evenHBand="0" w:firstRowFirstColumn="0" w:firstRowLastColumn="0" w:lastRowFirstColumn="0" w:lastRowLastColumn="0"/>
            <w:tcW w:w="1522" w:type="dxa"/>
            <w:vMerge w:val="restart"/>
            <w:vAlign w:val="center"/>
          </w:tcPr>
          <w:p w:rsidRPr="002623C7" w:rsidR="00B96D6D" w:rsidP="00ED3CFD" w:rsidRDefault="00B96D6D" w14:paraId="678F9E04" w14:textId="77777777">
            <w:pPr>
              <w:jc w:val="center"/>
              <w:rPr>
                <w:b w:val="0"/>
                <w:bCs w:val="0"/>
                <w:i/>
                <w:iCs/>
                <w:sz w:val="20"/>
                <w:szCs w:val="20"/>
              </w:rPr>
            </w:pPr>
          </w:p>
        </w:tc>
        <w:tc>
          <w:tcPr>
            <w:tcW w:w="1706" w:type="dxa"/>
            <w:vMerge w:val="restart"/>
            <w:vAlign w:val="center"/>
          </w:tcPr>
          <w:p w:rsidRPr="002623C7" w:rsidR="00B96D6D" w:rsidP="00ED3CFD" w:rsidRDefault="00B96D6D" w14:paraId="0BADF5C5"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963" w:type="dxa"/>
            <w:vMerge w:val="restart"/>
            <w:vAlign w:val="center"/>
          </w:tcPr>
          <w:p w:rsidRPr="002623C7" w:rsidR="00B96D6D" w:rsidP="00ED3CFD" w:rsidRDefault="00B96D6D" w14:paraId="2BBA32C7"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3201" w:type="dxa"/>
            <w:vAlign w:val="center"/>
          </w:tcPr>
          <w:p w:rsidRPr="005D470A" w:rsidR="00B96D6D" w:rsidP="00ED3CFD" w:rsidRDefault="00B96D6D" w14:paraId="213AB637"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vAlign w:val="center"/>
          </w:tcPr>
          <w:p w:rsidRPr="002623C7" w:rsidR="00B96D6D" w:rsidP="00ED3CFD" w:rsidRDefault="00B96D6D" w14:paraId="646D1F1D"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176" w:type="dxa"/>
            <w:vAlign w:val="center"/>
          </w:tcPr>
          <w:p w:rsidRPr="002623C7" w:rsidR="00B96D6D" w:rsidP="00ED3CFD" w:rsidRDefault="00B96D6D" w14:paraId="494F9225"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768" w:type="dxa"/>
            <w:shd w:val="clear" w:color="auto" w:fill="auto"/>
            <w:vAlign w:val="center"/>
          </w:tcPr>
          <w:p w:rsidRPr="002623C7" w:rsidR="00B96D6D" w:rsidP="00ED3CFD" w:rsidRDefault="00B96D6D" w14:paraId="0CA683E4"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768" w:type="dxa"/>
            <w:shd w:val="clear" w:color="auto" w:fill="auto"/>
            <w:vAlign w:val="center"/>
          </w:tcPr>
          <w:p w:rsidRPr="002623C7" w:rsidR="00B96D6D" w:rsidP="00ED3CFD" w:rsidRDefault="00B96D6D" w14:paraId="6B1E6B43"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shd w:val="clear" w:color="auto" w:fill="auto"/>
            <w:vAlign w:val="center"/>
          </w:tcPr>
          <w:p w:rsidRPr="002623C7" w:rsidR="00B96D6D" w:rsidP="00ED3CFD" w:rsidRDefault="00B96D6D" w14:paraId="0905D457"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75" w:type="dxa"/>
            <w:shd w:val="clear" w:color="auto" w:fill="auto"/>
            <w:vAlign w:val="center"/>
          </w:tcPr>
          <w:p w:rsidRPr="002623C7" w:rsidR="00B96D6D" w:rsidP="00ED3CFD" w:rsidRDefault="00B96D6D" w14:paraId="3FAFCFC4"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vAlign w:val="center"/>
          </w:tcPr>
          <w:p w:rsidRPr="002623C7" w:rsidR="00B96D6D" w:rsidP="00ED3CFD" w:rsidRDefault="00B96D6D" w14:paraId="56C27AF4"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185" w:type="dxa"/>
            <w:vAlign w:val="center"/>
          </w:tcPr>
          <w:p w:rsidRPr="002623C7" w:rsidR="00B96D6D" w:rsidP="00ED3CFD" w:rsidRDefault="00B96D6D" w14:paraId="7DF3B9EE" w14:textId="77777777">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B96D6D" w:rsidTr="00A82FE5" w14:paraId="787C11AF" w14:textId="77777777">
        <w:trPr>
          <w:trHeight w:val="908"/>
        </w:trPr>
        <w:tc>
          <w:tcPr>
            <w:cnfStyle w:val="001000000000" w:firstRow="0" w:lastRow="0" w:firstColumn="1" w:lastColumn="0" w:oddVBand="0" w:evenVBand="0" w:oddHBand="0" w:evenHBand="0" w:firstRowFirstColumn="0" w:firstRowLastColumn="0" w:lastRowFirstColumn="0" w:lastRowLastColumn="0"/>
            <w:tcW w:w="1522" w:type="dxa"/>
            <w:vMerge/>
            <w:vAlign w:val="center"/>
          </w:tcPr>
          <w:p w:rsidRPr="002623C7" w:rsidR="00B96D6D" w:rsidP="00A82FE5" w:rsidRDefault="00B96D6D" w14:paraId="0DC5482B" w14:textId="77777777">
            <w:pPr>
              <w:rPr>
                <w:i/>
                <w:iCs/>
                <w:sz w:val="24"/>
                <w:szCs w:val="24"/>
              </w:rPr>
            </w:pPr>
          </w:p>
        </w:tc>
        <w:tc>
          <w:tcPr>
            <w:tcW w:w="1706" w:type="dxa"/>
            <w:vMerge/>
            <w:vAlign w:val="center"/>
          </w:tcPr>
          <w:p w:rsidRPr="002623C7" w:rsidR="00B96D6D" w:rsidP="00A82FE5" w:rsidRDefault="00B96D6D" w14:paraId="646E5B1B"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963" w:type="dxa"/>
            <w:vMerge/>
            <w:vAlign w:val="center"/>
          </w:tcPr>
          <w:p w:rsidRPr="002623C7" w:rsidR="00B96D6D" w:rsidP="00A82FE5" w:rsidRDefault="00B96D6D" w14:paraId="78AA1191"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201" w:type="dxa"/>
            <w:vAlign w:val="center"/>
          </w:tcPr>
          <w:p w:rsidRPr="005D470A" w:rsidR="00B96D6D" w:rsidP="00A82FE5" w:rsidRDefault="00B96D6D" w14:paraId="2F70E40F"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p w:rsidRPr="002623C7" w:rsidR="00B96D6D" w:rsidP="00A82FE5" w:rsidRDefault="00B96D6D" w14:paraId="18E9DB02"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Pr>
          <w:p w:rsidRPr="002623C7" w:rsidR="00B96D6D" w:rsidP="00A82FE5" w:rsidRDefault="00B96D6D" w14:paraId="5E83A11C"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Pr>
          <w:p w:rsidRPr="002623C7" w:rsidR="00B96D6D" w:rsidP="00A82FE5" w:rsidRDefault="00B96D6D" w14:paraId="7AC890A6"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rsidRPr="002623C7" w:rsidR="00B96D6D" w:rsidP="00A82FE5" w:rsidRDefault="00B96D6D" w14:paraId="7B623C91"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rsidRPr="002623C7" w:rsidR="00B96D6D" w:rsidP="00A82FE5" w:rsidRDefault="00B96D6D" w14:paraId="02BA8815"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rsidRPr="002623C7" w:rsidR="00B96D6D" w:rsidP="00A82FE5" w:rsidRDefault="00B96D6D" w14:paraId="4903356A"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75" w:type="dxa"/>
            <w:shd w:val="clear" w:color="auto" w:fill="auto"/>
          </w:tcPr>
          <w:p w:rsidRPr="002623C7" w:rsidR="00B96D6D" w:rsidP="00A82FE5" w:rsidRDefault="00B96D6D" w14:paraId="1B250EA9"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B96D6D" w:rsidP="00A82FE5" w:rsidRDefault="00B96D6D" w14:paraId="77B02A21"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185" w:type="dxa"/>
          </w:tcPr>
          <w:p w:rsidRPr="002623C7" w:rsidR="00B96D6D" w:rsidP="00A82FE5" w:rsidRDefault="00B96D6D" w14:paraId="3C4D31CB" w14:textId="77777777">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B96D6D" w:rsidTr="00A82FE5" w14:paraId="544917F7" w14:textId="77777777">
        <w:trPr>
          <w:trHeight w:val="974"/>
        </w:trPr>
        <w:tc>
          <w:tcPr>
            <w:cnfStyle w:val="001000000000" w:firstRow="0" w:lastRow="0" w:firstColumn="1" w:lastColumn="0" w:oddVBand="0" w:evenVBand="0" w:oddHBand="0" w:evenHBand="0" w:firstRowFirstColumn="0" w:firstRowLastColumn="0" w:lastRowFirstColumn="0" w:lastRowLastColumn="0"/>
            <w:tcW w:w="1522" w:type="dxa"/>
            <w:vMerge/>
            <w:vAlign w:val="center"/>
          </w:tcPr>
          <w:p w:rsidRPr="002623C7" w:rsidR="00B96D6D" w:rsidP="00A82FE5" w:rsidRDefault="00B96D6D" w14:paraId="4ABF57B7" w14:textId="77777777">
            <w:pPr>
              <w:rPr>
                <w:i/>
                <w:iCs/>
                <w:sz w:val="24"/>
                <w:szCs w:val="24"/>
              </w:rPr>
            </w:pPr>
          </w:p>
        </w:tc>
        <w:tc>
          <w:tcPr>
            <w:tcW w:w="1706" w:type="dxa"/>
            <w:vMerge/>
            <w:vAlign w:val="center"/>
          </w:tcPr>
          <w:p w:rsidRPr="002623C7" w:rsidR="00B96D6D" w:rsidP="00A82FE5" w:rsidRDefault="00B96D6D" w14:paraId="2994EC1C"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963" w:type="dxa"/>
            <w:vMerge/>
            <w:vAlign w:val="center"/>
          </w:tcPr>
          <w:p w:rsidRPr="002623C7" w:rsidR="00B96D6D" w:rsidP="00A82FE5" w:rsidRDefault="00B96D6D" w14:paraId="5132C5D6"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201" w:type="dxa"/>
            <w:vAlign w:val="center"/>
          </w:tcPr>
          <w:p w:rsidRPr="005D470A" w:rsidR="00B96D6D" w:rsidP="00A82FE5" w:rsidRDefault="00B96D6D" w14:paraId="23DC9084"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Pr>
          <w:p w:rsidRPr="002623C7" w:rsidR="00B96D6D" w:rsidP="00A82FE5" w:rsidRDefault="00B96D6D" w14:paraId="5FA0CF66"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Pr>
          <w:p w:rsidRPr="002623C7" w:rsidR="00B96D6D" w:rsidP="00A82FE5" w:rsidRDefault="00B96D6D" w14:paraId="374165C8"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rsidRPr="002623C7" w:rsidR="00B96D6D" w:rsidP="00A82FE5" w:rsidRDefault="00B96D6D" w14:paraId="62EA6872"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rsidRPr="002623C7" w:rsidR="00B96D6D" w:rsidP="00A82FE5" w:rsidRDefault="00B96D6D" w14:paraId="55B5BF7F"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rsidRPr="002623C7" w:rsidR="00B96D6D" w:rsidP="00A82FE5" w:rsidRDefault="00B96D6D" w14:paraId="38803C0F"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75" w:type="dxa"/>
            <w:shd w:val="clear" w:color="auto" w:fill="auto"/>
          </w:tcPr>
          <w:p w:rsidRPr="002623C7" w:rsidR="00B96D6D" w:rsidP="00A82FE5" w:rsidRDefault="00B96D6D" w14:paraId="2A8CEBE2"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rsidRPr="002623C7" w:rsidR="00B96D6D" w:rsidP="00A82FE5" w:rsidRDefault="00B96D6D" w14:paraId="7B420E2C"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185" w:type="dxa"/>
          </w:tcPr>
          <w:p w:rsidRPr="002623C7" w:rsidR="00B96D6D" w:rsidP="00A82FE5" w:rsidRDefault="00B96D6D" w14:paraId="30269C5B" w14:textId="77777777">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B96D6D" w:rsidTr="00A82FE5" w14:paraId="7217B084" w14:textId="77777777">
        <w:trPr>
          <w:trHeight w:val="1433"/>
        </w:trPr>
        <w:tc>
          <w:tcPr>
            <w:cnfStyle w:val="001000000000" w:firstRow="0" w:lastRow="0" w:firstColumn="1" w:lastColumn="0" w:oddVBand="0" w:evenVBand="0" w:oddHBand="0" w:evenHBand="0" w:firstRowFirstColumn="0" w:firstRowLastColumn="0" w:lastRowFirstColumn="0" w:lastRowLastColumn="0"/>
            <w:tcW w:w="1522" w:type="dxa"/>
          </w:tcPr>
          <w:p w:rsidR="00B96D6D" w:rsidP="00A82FE5" w:rsidRDefault="00B96D6D" w14:paraId="13292E75" w14:textId="77777777">
            <w:pPr>
              <w:jc w:val="both"/>
              <w:rPr>
                <w:sz w:val="24"/>
                <w:szCs w:val="24"/>
              </w:rPr>
            </w:pPr>
          </w:p>
        </w:tc>
        <w:tc>
          <w:tcPr>
            <w:tcW w:w="1706" w:type="dxa"/>
          </w:tcPr>
          <w:p w:rsidR="00B96D6D" w:rsidP="00A82FE5" w:rsidRDefault="00B96D6D" w14:paraId="2DE7FC2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Pr>
          <w:p w:rsidR="00B96D6D" w:rsidP="00A82FE5" w:rsidRDefault="00B96D6D" w14:paraId="37C1EA4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Pr>
          <w:p w:rsidR="00B96D6D" w:rsidP="00A82FE5" w:rsidRDefault="00B96D6D" w14:paraId="25451B1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rsidR="00B96D6D" w:rsidP="00A82FE5" w:rsidRDefault="00B96D6D" w14:paraId="672CA91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rsidR="00B96D6D" w:rsidP="00A82FE5" w:rsidRDefault="00B96D6D" w14:paraId="375F43C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5CB8D9A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3A82AEC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4277598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Pr>
          <w:p w:rsidR="00B96D6D" w:rsidP="00A82FE5" w:rsidRDefault="00B96D6D" w14:paraId="77B2CFC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96D6D" w:rsidP="00A82FE5" w:rsidRDefault="00B96D6D" w14:paraId="21DA24E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Pr>
          <w:p w:rsidR="00B96D6D" w:rsidP="00A82FE5" w:rsidRDefault="00B96D6D" w14:paraId="48C614C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rsidTr="00A82FE5" w14:paraId="326D185D" w14:textId="77777777">
        <w:trPr>
          <w:trHeight w:val="1377"/>
        </w:trPr>
        <w:tc>
          <w:tcPr>
            <w:cnfStyle w:val="001000000000" w:firstRow="0" w:lastRow="0" w:firstColumn="1" w:lastColumn="0" w:oddVBand="0" w:evenVBand="0" w:oddHBand="0" w:evenHBand="0" w:firstRowFirstColumn="0" w:firstRowLastColumn="0" w:lastRowFirstColumn="0" w:lastRowLastColumn="0"/>
            <w:tcW w:w="1522" w:type="dxa"/>
          </w:tcPr>
          <w:p w:rsidR="00B96D6D" w:rsidP="00A82FE5" w:rsidRDefault="00B96D6D" w14:paraId="11DBA7D3" w14:textId="77777777">
            <w:pPr>
              <w:jc w:val="both"/>
              <w:rPr>
                <w:sz w:val="24"/>
                <w:szCs w:val="24"/>
              </w:rPr>
            </w:pPr>
          </w:p>
        </w:tc>
        <w:tc>
          <w:tcPr>
            <w:tcW w:w="1706" w:type="dxa"/>
          </w:tcPr>
          <w:p w:rsidR="00B96D6D" w:rsidP="00A82FE5" w:rsidRDefault="00B96D6D" w14:paraId="32C2047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Pr>
          <w:p w:rsidR="00B96D6D" w:rsidP="00A82FE5" w:rsidRDefault="00B96D6D" w14:paraId="58325FF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Pr>
          <w:p w:rsidR="00B96D6D" w:rsidP="00A82FE5" w:rsidRDefault="00B96D6D" w14:paraId="1F99321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rsidR="00B96D6D" w:rsidP="00A82FE5" w:rsidRDefault="00B96D6D" w14:paraId="5322A91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rsidR="00B96D6D" w:rsidP="00A82FE5" w:rsidRDefault="00B96D6D" w14:paraId="73BEAFC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756B2562"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2A861F9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767752A6"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Pr>
          <w:p w:rsidR="00B96D6D" w:rsidP="00A82FE5" w:rsidRDefault="00B96D6D" w14:paraId="5AAAA63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96D6D" w:rsidP="00A82FE5" w:rsidRDefault="00B96D6D" w14:paraId="5FB8366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Pr>
          <w:p w:rsidR="00B96D6D" w:rsidP="00A82FE5" w:rsidRDefault="00B96D6D" w14:paraId="390C92EB"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rsidTr="00A82FE5" w14:paraId="3DD593FD" w14:textId="77777777">
        <w:trPr>
          <w:trHeight w:val="1417"/>
        </w:trPr>
        <w:tc>
          <w:tcPr>
            <w:cnfStyle w:val="001000000000" w:firstRow="0" w:lastRow="0" w:firstColumn="1" w:lastColumn="0" w:oddVBand="0" w:evenVBand="0" w:oddHBand="0" w:evenHBand="0" w:firstRowFirstColumn="0" w:firstRowLastColumn="0" w:lastRowFirstColumn="0" w:lastRowLastColumn="0"/>
            <w:tcW w:w="1522" w:type="dxa"/>
          </w:tcPr>
          <w:p w:rsidR="00B96D6D" w:rsidP="00A82FE5" w:rsidRDefault="00B96D6D" w14:paraId="1E4C7D35" w14:textId="77777777">
            <w:pPr>
              <w:jc w:val="both"/>
              <w:rPr>
                <w:sz w:val="24"/>
                <w:szCs w:val="24"/>
              </w:rPr>
            </w:pPr>
          </w:p>
        </w:tc>
        <w:tc>
          <w:tcPr>
            <w:tcW w:w="1706" w:type="dxa"/>
          </w:tcPr>
          <w:p w:rsidR="00B96D6D" w:rsidP="00A82FE5" w:rsidRDefault="00B96D6D" w14:paraId="776C106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Pr>
          <w:p w:rsidR="00B96D6D" w:rsidP="00A82FE5" w:rsidRDefault="00B96D6D" w14:paraId="07BF0BF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Pr>
          <w:p w:rsidR="00B96D6D" w:rsidP="00A82FE5" w:rsidRDefault="00B96D6D" w14:paraId="473A47E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rsidR="00B96D6D" w:rsidP="00A82FE5" w:rsidRDefault="00B96D6D" w14:paraId="21E59F4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rsidR="00B96D6D" w:rsidP="00A82FE5" w:rsidRDefault="00B96D6D" w14:paraId="011CDE6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4B8E082A"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22DC03C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6D8AE54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Pr>
          <w:p w:rsidR="00B96D6D" w:rsidP="00A82FE5" w:rsidRDefault="00B96D6D" w14:paraId="0489CC4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96D6D" w:rsidP="00A82FE5" w:rsidRDefault="00B96D6D" w14:paraId="356E755E"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Pr>
          <w:p w:rsidR="00B96D6D" w:rsidP="00A82FE5" w:rsidRDefault="00B96D6D" w14:paraId="69996C1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rsidTr="00A82FE5" w14:paraId="7AFF90FF" w14:textId="77777777">
        <w:trPr>
          <w:trHeight w:val="1609"/>
        </w:trPr>
        <w:tc>
          <w:tcPr>
            <w:cnfStyle w:val="001000000000" w:firstRow="0" w:lastRow="0" w:firstColumn="1" w:lastColumn="0" w:oddVBand="0" w:evenVBand="0" w:oddHBand="0" w:evenHBand="0" w:firstRowFirstColumn="0" w:firstRowLastColumn="0" w:lastRowFirstColumn="0" w:lastRowLastColumn="0"/>
            <w:tcW w:w="1522" w:type="dxa"/>
          </w:tcPr>
          <w:p w:rsidR="00B96D6D" w:rsidP="00A82FE5" w:rsidRDefault="00B96D6D" w14:paraId="459B29A0" w14:textId="77777777">
            <w:pPr>
              <w:jc w:val="both"/>
              <w:rPr>
                <w:sz w:val="24"/>
                <w:szCs w:val="24"/>
              </w:rPr>
            </w:pPr>
          </w:p>
        </w:tc>
        <w:tc>
          <w:tcPr>
            <w:tcW w:w="1706" w:type="dxa"/>
          </w:tcPr>
          <w:p w:rsidR="00B96D6D" w:rsidP="00A82FE5" w:rsidRDefault="00B96D6D" w14:paraId="6C98BB5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Pr>
          <w:p w:rsidR="00B96D6D" w:rsidP="00A82FE5" w:rsidRDefault="00B96D6D" w14:paraId="3A58A94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Pr>
          <w:p w:rsidR="00B96D6D" w:rsidP="00A82FE5" w:rsidRDefault="00B96D6D" w14:paraId="76625E7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rsidR="00B96D6D" w:rsidP="00A82FE5" w:rsidRDefault="00B96D6D" w14:paraId="36CE96A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rsidR="00B96D6D" w:rsidP="00A82FE5" w:rsidRDefault="00B96D6D" w14:paraId="2E76711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10DD52D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15BF4FD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6766566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Pr>
          <w:p w:rsidR="00B96D6D" w:rsidP="00A82FE5" w:rsidRDefault="00B96D6D" w14:paraId="5C0E685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96D6D" w:rsidP="00A82FE5" w:rsidRDefault="00B96D6D" w14:paraId="2FC5BC2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Pr>
          <w:p w:rsidR="00B96D6D" w:rsidP="00A82FE5" w:rsidRDefault="00B96D6D" w14:paraId="4FD0093F"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rsidTr="00A82FE5" w14:paraId="1D08F29F" w14:textId="77777777">
        <w:trPr>
          <w:trHeight w:val="1246"/>
        </w:trPr>
        <w:tc>
          <w:tcPr>
            <w:cnfStyle w:val="001000000000" w:firstRow="0" w:lastRow="0" w:firstColumn="1" w:lastColumn="0" w:oddVBand="0" w:evenVBand="0" w:oddHBand="0" w:evenHBand="0" w:firstRowFirstColumn="0" w:firstRowLastColumn="0" w:lastRowFirstColumn="0" w:lastRowLastColumn="0"/>
            <w:tcW w:w="1522" w:type="dxa"/>
          </w:tcPr>
          <w:p w:rsidR="00B96D6D" w:rsidP="00A82FE5" w:rsidRDefault="00B96D6D" w14:paraId="396A820B" w14:textId="77777777">
            <w:pPr>
              <w:jc w:val="both"/>
              <w:rPr>
                <w:sz w:val="24"/>
                <w:szCs w:val="24"/>
              </w:rPr>
            </w:pPr>
          </w:p>
        </w:tc>
        <w:tc>
          <w:tcPr>
            <w:tcW w:w="1706" w:type="dxa"/>
          </w:tcPr>
          <w:p w:rsidR="00B96D6D" w:rsidP="00A82FE5" w:rsidRDefault="00B96D6D" w14:paraId="460BC021"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63" w:type="dxa"/>
          </w:tcPr>
          <w:p w:rsidR="00B96D6D" w:rsidP="00A82FE5" w:rsidRDefault="00B96D6D" w14:paraId="4BD68D8D"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1" w:type="dxa"/>
          </w:tcPr>
          <w:p w:rsidR="00B96D6D" w:rsidP="00A82FE5" w:rsidRDefault="00B96D6D" w14:paraId="010132B8"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rsidR="00B96D6D" w:rsidP="00A82FE5" w:rsidRDefault="00B96D6D" w14:paraId="26035DD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rsidR="00B96D6D" w:rsidP="00A82FE5" w:rsidRDefault="00B96D6D" w14:paraId="6A32CB67"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39B227C4"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02AC573C"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rsidR="00B96D6D" w:rsidP="00A82FE5" w:rsidRDefault="00B96D6D" w14:paraId="289B41C9"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5" w:type="dxa"/>
          </w:tcPr>
          <w:p w:rsidR="00B96D6D" w:rsidP="00A82FE5" w:rsidRDefault="00B96D6D" w14:paraId="67377D3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rsidR="00B96D6D" w:rsidP="00A82FE5" w:rsidRDefault="00B96D6D" w14:paraId="56CB4C25"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85" w:type="dxa"/>
          </w:tcPr>
          <w:p w:rsidR="00B96D6D" w:rsidP="00A82FE5" w:rsidRDefault="00B96D6D" w14:paraId="503504E0" w14:textId="77777777">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B96D6D" w:rsidP="00A97583" w:rsidRDefault="00B96D6D" w14:paraId="08103001" w14:textId="0DBE1266">
      <w:pPr>
        <w:tabs>
          <w:tab w:val="left" w:pos="3978"/>
        </w:tabs>
        <w:jc w:val="both"/>
        <w:rPr>
          <w:sz w:val="24"/>
          <w:szCs w:val="24"/>
        </w:rPr>
        <w:sectPr w:rsidR="00B96D6D" w:rsidSect="00A97583">
          <w:pgSz w:w="16839" w:h="11907" w:orient="landscape" w:code="9"/>
          <w:pgMar w:top="1440" w:right="1440" w:bottom="1440" w:left="1440" w:header="720" w:footer="720" w:gutter="0"/>
          <w:cols w:space="720"/>
          <w:docGrid w:linePitch="381"/>
        </w:sectPr>
      </w:pPr>
    </w:p>
    <w:p w:rsidR="00A97583" w:rsidP="00DE2ECB" w:rsidRDefault="00A97583" w14:paraId="3E592E0B" w14:textId="15981521">
      <w:pPr>
        <w:pStyle w:val="Heading2"/>
        <w:numPr>
          <w:ilvl w:val="0"/>
          <w:numId w:val="20"/>
        </w:numPr>
        <w:spacing w:before="0" w:after="0" w:line="240" w:lineRule="auto"/>
        <w:rPr>
          <w:color w:val="0041A1"/>
          <w:sz w:val="28"/>
          <w:szCs w:val="28"/>
        </w:rPr>
      </w:pPr>
      <w:r>
        <w:rPr>
          <w:color w:val="0041A1"/>
          <w:sz w:val="28"/>
          <w:szCs w:val="28"/>
        </w:rPr>
        <w:lastRenderedPageBreak/>
        <w:t>Implementation Structure and Approach</w:t>
      </w:r>
    </w:p>
    <w:p w:rsidR="00DE2ECB" w:rsidP="00DE2ECB" w:rsidRDefault="00DE2ECB" w14:paraId="33308BB5" w14:textId="77777777">
      <w:pPr>
        <w:spacing w:after="0" w:line="240" w:lineRule="auto"/>
      </w:pPr>
    </w:p>
    <w:p w:rsidRPr="00A97583" w:rsidR="00A97583" w:rsidP="00DE2ECB" w:rsidRDefault="00A97583" w14:paraId="34CD12D4" w14:textId="091985D9">
      <w:pPr>
        <w:spacing w:after="0" w:line="240" w:lineRule="auto"/>
        <w:rPr>
          <w:b/>
          <w:bCs/>
        </w:rPr>
      </w:pPr>
      <w:r w:rsidRPr="00A97583">
        <w:rPr>
          <w:b/>
          <w:bCs/>
        </w:rPr>
        <w:t>Coordinat</w:t>
      </w:r>
      <w:r w:rsidR="00B96D6D">
        <w:rPr>
          <w:b/>
          <w:bCs/>
        </w:rPr>
        <w:t>ion</w:t>
      </w:r>
      <w:r w:rsidRPr="00A97583">
        <w:rPr>
          <w:b/>
          <w:bCs/>
        </w:rPr>
        <w:t xml:space="preserve"> mandate</w:t>
      </w:r>
    </w:p>
    <w:p w:rsidR="00A97583" w:rsidP="00DE2ECB" w:rsidRDefault="00A97583" w14:paraId="3A58112E" w14:textId="485F0535">
      <w:pPr>
        <w:spacing w:after="0" w:line="240" w:lineRule="auto"/>
      </w:pPr>
      <w:r w:rsidRPr="00A97583">
        <w:t>[</w:t>
      </w:r>
      <w:r w:rsidRPr="00180247">
        <w:rPr>
          <w:i/>
          <w:iCs/>
        </w:rPr>
        <w:t>highlight coordination structure</w:t>
      </w:r>
      <w:r w:rsidR="00ED3CFD">
        <w:rPr>
          <w:i/>
          <w:iCs/>
        </w:rPr>
        <w:t xml:space="preserve"> and official mandates for implementation</w:t>
      </w:r>
      <w:r>
        <w:t xml:space="preserve">] </w:t>
      </w:r>
    </w:p>
    <w:p w:rsidR="00A97583" w:rsidP="00DE2ECB" w:rsidRDefault="00A97583" w14:paraId="5F97D419" w14:textId="559B7425">
      <w:pPr>
        <w:spacing w:after="0" w:line="240" w:lineRule="auto"/>
      </w:pPr>
      <w:r>
        <w:t>…</w:t>
      </w:r>
    </w:p>
    <w:p w:rsidRPr="00A97583" w:rsidR="00DE2ECB" w:rsidP="00DE2ECB" w:rsidRDefault="00DE2ECB" w14:paraId="47C3A60E" w14:textId="77777777">
      <w:pPr>
        <w:spacing w:after="0" w:line="240" w:lineRule="auto"/>
      </w:pPr>
    </w:p>
    <w:p w:rsidRPr="00A97583" w:rsidR="00A97583" w:rsidP="00DE2ECB" w:rsidRDefault="00A97583" w14:paraId="5EB09A5F" w14:textId="77777777">
      <w:pPr>
        <w:spacing w:after="0" w:line="240" w:lineRule="auto"/>
        <w:rPr>
          <w:b/>
          <w:bCs/>
        </w:rPr>
      </w:pPr>
      <w:r w:rsidRPr="00A97583">
        <w:rPr>
          <w:b/>
          <w:bCs/>
        </w:rPr>
        <w:t>Implementing entities</w:t>
      </w:r>
    </w:p>
    <w:p w:rsidR="00A97583" w:rsidP="00DE2ECB" w:rsidRDefault="00A97583" w14:paraId="381F1FCE" w14:textId="405AD738">
      <w:pPr>
        <w:spacing w:after="0" w:line="240" w:lineRule="auto"/>
      </w:pPr>
      <w:r w:rsidRPr="00A97583">
        <w:t>[</w:t>
      </w:r>
      <w:r w:rsidRPr="00180247">
        <w:rPr>
          <w:i/>
          <w:iCs/>
        </w:rPr>
        <w:t>highlight implementing institutions</w:t>
      </w:r>
      <w:r w:rsidR="00ED3CFD">
        <w:rPr>
          <w:i/>
          <w:iCs/>
        </w:rPr>
        <w:t xml:space="preserve"> and supporting partners</w:t>
      </w:r>
      <w:r>
        <w:t xml:space="preserve">] </w:t>
      </w:r>
    </w:p>
    <w:p w:rsidR="00A97583" w:rsidP="00DE2ECB" w:rsidRDefault="00A97583" w14:paraId="1D13EDE4" w14:textId="37C62F2B">
      <w:pPr>
        <w:spacing w:after="0" w:line="240" w:lineRule="auto"/>
      </w:pPr>
      <w:r>
        <w:t>…</w:t>
      </w:r>
    </w:p>
    <w:p w:rsidRPr="00A97583" w:rsidR="00DE2ECB" w:rsidP="00DE2ECB" w:rsidRDefault="00DE2ECB" w14:paraId="490C546B" w14:textId="77777777">
      <w:pPr>
        <w:spacing w:after="0" w:line="240" w:lineRule="auto"/>
      </w:pPr>
    </w:p>
    <w:p w:rsidR="00A97583" w:rsidP="00DE2ECB" w:rsidRDefault="00A97583" w14:paraId="209A0551" w14:textId="77777777">
      <w:pPr>
        <w:spacing w:after="0" w:line="240" w:lineRule="auto"/>
        <w:rPr>
          <w:b/>
          <w:bCs/>
        </w:rPr>
      </w:pPr>
      <w:r w:rsidRPr="00A97583">
        <w:rPr>
          <w:b/>
          <w:bCs/>
        </w:rPr>
        <w:t>Investment and funding arrangements</w:t>
      </w:r>
    </w:p>
    <w:p w:rsidR="00A97583" w:rsidP="00DE2ECB" w:rsidRDefault="00A97583" w14:paraId="4FCAC4D3" w14:textId="2C31563D">
      <w:pPr>
        <w:spacing w:after="0" w:line="240" w:lineRule="auto"/>
      </w:pPr>
      <w:r w:rsidRPr="00A97583">
        <w:t>[</w:t>
      </w:r>
      <w:r w:rsidRPr="00180247">
        <w:rPr>
          <w:i/>
          <w:iCs/>
        </w:rPr>
        <w:t>highlight investment approach</w:t>
      </w:r>
      <w:r w:rsidR="00ED3CFD">
        <w:rPr>
          <w:i/>
          <w:iCs/>
        </w:rPr>
        <w:t xml:space="preserve">, </w:t>
      </w:r>
      <w:r w:rsidRPr="00180247">
        <w:rPr>
          <w:i/>
          <w:iCs/>
        </w:rPr>
        <w:t>funding streams and sources</w:t>
      </w:r>
      <w:r>
        <w:t xml:space="preserve">] </w:t>
      </w:r>
    </w:p>
    <w:p w:rsidR="00A97583" w:rsidP="00DE2ECB" w:rsidRDefault="00A97583" w14:paraId="30EDA8AC" w14:textId="77777777">
      <w:pPr>
        <w:spacing w:after="0" w:line="240" w:lineRule="auto"/>
      </w:pPr>
      <w:r>
        <w:t>…</w:t>
      </w:r>
    </w:p>
    <w:p w:rsidR="00A97583" w:rsidP="00DE2ECB" w:rsidRDefault="00A97583" w14:paraId="7A00C805" w14:textId="790F77DE">
      <w:pPr>
        <w:tabs>
          <w:tab w:val="left" w:pos="3978"/>
        </w:tabs>
        <w:spacing w:after="0" w:line="240" w:lineRule="auto"/>
        <w:jc w:val="both"/>
        <w:rPr>
          <w:sz w:val="24"/>
          <w:szCs w:val="24"/>
        </w:rPr>
      </w:pPr>
    </w:p>
    <w:p w:rsidR="00DE2ECB" w:rsidP="00DE2ECB" w:rsidRDefault="00DE2ECB" w14:paraId="6176682C" w14:textId="77777777">
      <w:pPr>
        <w:tabs>
          <w:tab w:val="left" w:pos="3978"/>
        </w:tabs>
        <w:spacing w:after="0" w:line="240" w:lineRule="auto"/>
        <w:jc w:val="both"/>
        <w:rPr>
          <w:sz w:val="24"/>
          <w:szCs w:val="24"/>
        </w:rPr>
      </w:pPr>
    </w:p>
    <w:p w:rsidR="00A97583" w:rsidP="00DE2ECB" w:rsidRDefault="00A97583" w14:paraId="653A0FB8" w14:textId="10E40E01">
      <w:pPr>
        <w:pStyle w:val="Heading2"/>
        <w:numPr>
          <w:ilvl w:val="0"/>
          <w:numId w:val="20"/>
        </w:numPr>
        <w:spacing w:before="0" w:after="0" w:line="240" w:lineRule="auto"/>
        <w:rPr>
          <w:color w:val="0041A1"/>
          <w:sz w:val="28"/>
          <w:szCs w:val="28"/>
        </w:rPr>
      </w:pPr>
      <w:r w:rsidRPr="6A1895D9" w:rsidR="09A283E4">
        <w:rPr>
          <w:color w:val="0041A1"/>
          <w:sz w:val="28"/>
          <w:szCs w:val="28"/>
        </w:rPr>
        <w:t>Monito</w:t>
      </w:r>
      <w:r w:rsidRPr="6A1895D9" w:rsidR="09A283E4">
        <w:rPr>
          <w:color w:val="0041A1"/>
          <w:sz w:val="28"/>
          <w:szCs w:val="28"/>
        </w:rPr>
        <w:t>ring</w:t>
      </w:r>
      <w:r w:rsidRPr="6A1895D9" w:rsidR="00A97583">
        <w:rPr>
          <w:color w:val="0041A1"/>
          <w:sz w:val="28"/>
          <w:szCs w:val="28"/>
        </w:rPr>
        <w:t xml:space="preserve"> and E</w:t>
      </w:r>
      <w:r w:rsidRPr="6A1895D9" w:rsidR="00A97583">
        <w:rPr>
          <w:color w:val="0041A1"/>
          <w:sz w:val="28"/>
          <w:szCs w:val="28"/>
        </w:rPr>
        <w:t xml:space="preserve">valuation </w:t>
      </w:r>
    </w:p>
    <w:p w:rsidR="00B96D6D" w:rsidP="00DE2ECB" w:rsidRDefault="00B96D6D" w14:paraId="794D502D" w14:textId="77777777">
      <w:pPr>
        <w:spacing w:after="0" w:line="240" w:lineRule="auto"/>
      </w:pPr>
    </w:p>
    <w:p w:rsidRPr="00A97583" w:rsidR="00D62D86" w:rsidP="00DE2ECB" w:rsidRDefault="00B96D6D" w14:paraId="4793F20D" w14:textId="11B9BA29">
      <w:pPr>
        <w:spacing w:after="0" w:line="240" w:lineRule="auto"/>
      </w:pPr>
      <w:r>
        <w:t>[</w:t>
      </w:r>
      <w:r w:rsidRPr="00180247">
        <w:rPr>
          <w:i/>
          <w:iCs/>
        </w:rPr>
        <w:t>describe how monitoring and evaluation of the roadmap and activities will be conducted</w:t>
      </w:r>
      <w:r>
        <w:t>]</w:t>
      </w:r>
    </w:p>
    <w:p w:rsidR="00A97583" w:rsidP="00DE2ECB" w:rsidRDefault="00A97583" w14:paraId="0AA131DF" w14:textId="6502F227">
      <w:pPr>
        <w:spacing w:after="0" w:line="240" w:lineRule="auto"/>
      </w:pPr>
    </w:p>
    <w:p w:rsidR="00A97583" w:rsidP="00A97583" w:rsidRDefault="00A97583" w14:paraId="3D10C093" w14:textId="35D35B32"/>
    <w:p w:rsidR="00180247" w:rsidP="00180247" w:rsidRDefault="00180247" w14:paraId="7A599CFF" w14:textId="77777777">
      <w:pPr>
        <w:pStyle w:val="Heading2"/>
        <w:spacing w:before="0" w:after="0" w:line="240" w:lineRule="auto"/>
        <w:rPr>
          <w:color w:val="0041A1"/>
          <w:sz w:val="28"/>
          <w:szCs w:val="28"/>
        </w:rPr>
      </w:pPr>
      <w:r>
        <w:rPr>
          <w:color w:val="0041A1"/>
          <w:sz w:val="28"/>
          <w:szCs w:val="28"/>
        </w:rPr>
        <w:t xml:space="preserve">Annexes </w:t>
      </w:r>
    </w:p>
    <w:p w:rsidR="00180247" w:rsidP="00180247" w:rsidRDefault="00180247" w14:paraId="3074B4DC" w14:textId="77777777">
      <w:pPr>
        <w:pStyle w:val="Heading2"/>
        <w:spacing w:before="0" w:after="0" w:line="240" w:lineRule="auto"/>
        <w:rPr>
          <w:color w:val="0041A1"/>
          <w:sz w:val="28"/>
          <w:szCs w:val="28"/>
        </w:rPr>
      </w:pPr>
    </w:p>
    <w:p w:rsidRPr="00A97583" w:rsidR="00180247" w:rsidP="00180247" w:rsidRDefault="00180247" w14:paraId="1A519F17" w14:textId="2612D3F4">
      <w:pPr>
        <w:spacing w:after="0" w:line="240" w:lineRule="auto"/>
      </w:pPr>
      <w:r>
        <w:t>[</w:t>
      </w:r>
      <w:r w:rsidRPr="00180247">
        <w:rPr>
          <w:i/>
          <w:iCs/>
        </w:rPr>
        <w:t>gap analysis report and any other relevant documents</w:t>
      </w:r>
      <w:r>
        <w:t>]</w:t>
      </w:r>
    </w:p>
    <w:p w:rsidRPr="00A97583" w:rsidR="00180247" w:rsidP="00A97583" w:rsidRDefault="00180247" w14:paraId="085E643C" w14:textId="77777777"/>
    <w:sectPr w:rsidRPr="00A97583" w:rsidR="00180247" w:rsidSect="00A97583">
      <w:pgSz w:w="11907" w:h="16839" w:orient="portrait"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A19" w:rsidRDefault="00625A19" w14:paraId="4BDC321F" w14:textId="77777777">
      <w:pPr>
        <w:spacing w:line="240" w:lineRule="auto"/>
      </w:pPr>
      <w:r>
        <w:separator/>
      </w:r>
    </w:p>
    <w:p w:rsidR="00625A19" w:rsidRDefault="00625A19" w14:paraId="597BA248" w14:textId="77777777"/>
  </w:endnote>
  <w:endnote w:type="continuationSeparator" w:id="0">
    <w:p w:rsidR="00625A19" w:rsidRDefault="00625A19" w14:paraId="5D22E03C" w14:textId="77777777">
      <w:pPr>
        <w:spacing w:line="240" w:lineRule="auto"/>
      </w:pPr>
      <w:r>
        <w:continuationSeparator/>
      </w:r>
    </w:p>
    <w:p w:rsidR="00625A19" w:rsidRDefault="00625A19" w14:paraId="1E0156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614C5" w:rsidRDefault="00B614C5" w14:paraId="582211EF" w14:textId="72641F24">
    <w:pPr>
      <w:pStyle w:val="Footer"/>
    </w:pPr>
    <w:r>
      <w:rPr>
        <w:noProof/>
      </w:rPr>
      <w:drawing>
        <wp:inline distT="0" distB="0" distL="0" distR="0" wp14:anchorId="001AB24D" wp14:editId="2F3BF5E2">
          <wp:extent cx="5238115" cy="991870"/>
          <wp:effectExtent l="0" t="0" r="0" b="0"/>
          <wp:docPr id="10" name="Picture 10" descr="A logo of the united nati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the united nations&#10;&#10;Description automatically generated with low confidence"/>
                  <pic:cNvPicPr/>
                </pic:nvPicPr>
                <pic:blipFill>
                  <a:blip r:embed="rId1"/>
                  <a:stretch>
                    <a:fillRect/>
                  </a:stretch>
                </pic:blipFill>
                <pic:spPr>
                  <a:xfrm>
                    <a:off x="0" y="0"/>
                    <a:ext cx="5238115" cy="991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A19" w:rsidRDefault="00625A19" w14:paraId="3D4805A2" w14:textId="77777777">
      <w:pPr>
        <w:spacing w:line="240" w:lineRule="auto"/>
      </w:pPr>
      <w:r>
        <w:separator/>
      </w:r>
    </w:p>
    <w:p w:rsidR="00625A19" w:rsidRDefault="00625A19" w14:paraId="0F0CDA17" w14:textId="77777777"/>
  </w:footnote>
  <w:footnote w:type="continuationSeparator" w:id="0">
    <w:p w:rsidR="00625A19" w:rsidRDefault="00625A19" w14:paraId="4CD8B24A" w14:textId="77777777">
      <w:pPr>
        <w:spacing w:line="240" w:lineRule="auto"/>
      </w:pPr>
      <w:r>
        <w:continuationSeparator/>
      </w:r>
    </w:p>
    <w:p w:rsidR="00625A19" w:rsidRDefault="00625A19" w14:paraId="303C8C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F0A65" w:rsidRDefault="00DE2ECB" w14:paraId="755DD205" w14:textId="418E0E05">
    <w:pPr>
      <w:pStyle w:val="Header"/>
    </w:pPr>
    <w:r>
      <w:rPr>
        <w:noProof/>
      </w:rPr>
      <w:drawing>
        <wp:anchor distT="0" distB="0" distL="114300" distR="114300" simplePos="0" relativeHeight="251659264" behindDoc="1" locked="0" layoutInCell="1" allowOverlap="1" wp14:anchorId="48CBB567" wp14:editId="21F9FA7A">
          <wp:simplePos x="0" y="0"/>
          <wp:positionH relativeFrom="column">
            <wp:posOffset>107950</wp:posOffset>
          </wp:positionH>
          <wp:positionV relativeFrom="paragraph">
            <wp:posOffset>240030</wp:posOffset>
          </wp:positionV>
          <wp:extent cx="1271905" cy="788035"/>
          <wp:effectExtent l="0" t="0" r="0" b="0"/>
          <wp:wrapTopAndBottom/>
          <wp:docPr id="9" name="Picture 9"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graphics, logo, graphic design&#10;&#10;Description automatically generated"/>
                  <pic:cNvPicPr/>
                </pic:nvPicPr>
                <pic:blipFill>
                  <a:blip r:embed="rId1"/>
                  <a:stretch>
                    <a:fillRect/>
                  </a:stretch>
                </pic:blipFill>
                <pic:spPr>
                  <a:xfrm>
                    <a:off x="0" y="0"/>
                    <a:ext cx="1271905" cy="788035"/>
                  </a:xfrm>
                  <a:prstGeom prst="rect">
                    <a:avLst/>
                  </a:prstGeom>
                </pic:spPr>
              </pic:pic>
            </a:graphicData>
          </a:graphic>
          <wp14:sizeRelH relativeFrom="page">
            <wp14:pctWidth>0</wp14:pctWidth>
          </wp14:sizeRelH>
          <wp14:sizeRelV relativeFrom="page">
            <wp14:pctHeight>0</wp14:pctHeight>
          </wp14:sizeRelV>
        </wp:anchor>
      </w:drawing>
    </w:r>
    <w:r w:rsidR="00FF0A65">
      <w:rPr>
        <w:noProof/>
      </w:rPr>
      <w:drawing>
        <wp:anchor distT="0" distB="0" distL="114300" distR="114300" simplePos="0" relativeHeight="251658240" behindDoc="1" locked="0" layoutInCell="1" allowOverlap="1" wp14:anchorId="0F609A7B" wp14:editId="06667730">
          <wp:simplePos x="0" y="0"/>
          <wp:positionH relativeFrom="column">
            <wp:posOffset>3880017</wp:posOffset>
          </wp:positionH>
          <wp:positionV relativeFrom="paragraph">
            <wp:posOffset>-42358</wp:posOffset>
          </wp:positionV>
          <wp:extent cx="1422400" cy="1460500"/>
          <wp:effectExtent l="0" t="0" r="0" b="0"/>
          <wp:wrapTopAndBottom/>
          <wp:docPr id="8" name="Picture 8"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esign&#10;&#10;Description automatically generated"/>
                  <pic:cNvPicPr/>
                </pic:nvPicPr>
                <pic:blipFill>
                  <a:blip r:embed="rId2"/>
                  <a:stretch>
                    <a:fillRect/>
                  </a:stretch>
                </pic:blipFill>
                <pic:spPr>
                  <a:xfrm>
                    <a:off x="0" y="0"/>
                    <a:ext cx="1422400" cy="146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848"/>
    <w:multiLevelType w:val="hybridMultilevel"/>
    <w:tmpl w:val="A16E7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64CA4"/>
    <w:multiLevelType w:val="hybridMultilevel"/>
    <w:tmpl w:val="A204FDD0"/>
    <w:lvl w:ilvl="0" w:tplc="08090017">
      <w:start w:val="1"/>
      <w:numFmt w:val="lowerLetter"/>
      <w:lvlText w:val="%1)"/>
      <w:lvlJc w:val="left"/>
      <w:pPr>
        <w:ind w:left="720" w:hanging="360"/>
      </w:pPr>
    </w:lvl>
    <w:lvl w:ilvl="1" w:tplc="7166BB9E">
      <w:start w:val="1"/>
      <w:numFmt w:val="decimal"/>
      <w:lvlText w:val="%2."/>
      <w:lvlJc w:val="left"/>
      <w:pPr>
        <w:ind w:left="1800" w:hanging="720"/>
      </w:pPr>
      <w:rPr>
        <w:rFonts w:hint="default"/>
      </w:rPr>
    </w:lvl>
    <w:lvl w:ilvl="2" w:tplc="A960674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B5600"/>
    <w:multiLevelType w:val="hybridMultilevel"/>
    <w:tmpl w:val="F10CE5B4"/>
    <w:lvl w:ilvl="0" w:tplc="322041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77DBC"/>
    <w:multiLevelType w:val="hybridMultilevel"/>
    <w:tmpl w:val="7CB6C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64073"/>
    <w:multiLevelType w:val="hybridMultilevel"/>
    <w:tmpl w:val="71CAE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E1B92"/>
    <w:multiLevelType w:val="hybridMultilevel"/>
    <w:tmpl w:val="CF20B3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4759DC"/>
    <w:multiLevelType w:val="hybridMultilevel"/>
    <w:tmpl w:val="4704F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E1842"/>
    <w:multiLevelType w:val="hybridMultilevel"/>
    <w:tmpl w:val="64D22A1C"/>
    <w:lvl w:ilvl="0" w:tplc="4914EC6A">
      <w:start w:val="1"/>
      <w:numFmt w:val="lowerLetter"/>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30FC5"/>
    <w:multiLevelType w:val="hybridMultilevel"/>
    <w:tmpl w:val="434E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367AD"/>
    <w:multiLevelType w:val="hybridMultilevel"/>
    <w:tmpl w:val="A16E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A909E5"/>
    <w:multiLevelType w:val="hybridMultilevel"/>
    <w:tmpl w:val="76B68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D5C23"/>
    <w:multiLevelType w:val="hybridMultilevel"/>
    <w:tmpl w:val="84DEB0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5C85A9E"/>
    <w:multiLevelType w:val="hybridMultilevel"/>
    <w:tmpl w:val="3E3290C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50307496"/>
    <w:multiLevelType w:val="hybridMultilevel"/>
    <w:tmpl w:val="D0D63E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271063F"/>
    <w:multiLevelType w:val="hybridMultilevel"/>
    <w:tmpl w:val="97984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5B678F"/>
    <w:multiLevelType w:val="hybridMultilevel"/>
    <w:tmpl w:val="631A7A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A773DB5"/>
    <w:multiLevelType w:val="hybridMultilevel"/>
    <w:tmpl w:val="316430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C6676D9"/>
    <w:multiLevelType w:val="hybridMultilevel"/>
    <w:tmpl w:val="53E4BE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FD5267D"/>
    <w:multiLevelType w:val="hybridMultilevel"/>
    <w:tmpl w:val="5CA6B96C"/>
    <w:lvl w:ilvl="0" w:tplc="322041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163CB"/>
    <w:multiLevelType w:val="hybridMultilevel"/>
    <w:tmpl w:val="D4CE5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0573D"/>
    <w:multiLevelType w:val="hybridMultilevel"/>
    <w:tmpl w:val="0C58F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8"/>
  </w:num>
  <w:num w:numId="5">
    <w:abstractNumId w:val="15"/>
  </w:num>
  <w:num w:numId="6">
    <w:abstractNumId w:val="3"/>
  </w:num>
  <w:num w:numId="7">
    <w:abstractNumId w:val="17"/>
  </w:num>
  <w:num w:numId="8">
    <w:abstractNumId w:val="10"/>
  </w:num>
  <w:num w:numId="9">
    <w:abstractNumId w:val="19"/>
  </w:num>
  <w:num w:numId="10">
    <w:abstractNumId w:val="1"/>
  </w:num>
  <w:num w:numId="11">
    <w:abstractNumId w:val="18"/>
  </w:num>
  <w:num w:numId="12">
    <w:abstractNumId w:val="2"/>
  </w:num>
  <w:num w:numId="13">
    <w:abstractNumId w:val="7"/>
  </w:num>
  <w:num w:numId="14">
    <w:abstractNumId w:val="14"/>
  </w:num>
  <w:num w:numId="15">
    <w:abstractNumId w:val="20"/>
  </w:num>
  <w:num w:numId="16">
    <w:abstractNumId w:val="5"/>
  </w:num>
  <w:num w:numId="17">
    <w:abstractNumId w:val="12"/>
  </w:num>
  <w:num w:numId="18">
    <w:abstractNumId w:val="4"/>
  </w:num>
  <w:num w:numId="19">
    <w:abstractNumId w:val="11"/>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26"/>
    <w:rsid w:val="000A2CB7"/>
    <w:rsid w:val="00111FED"/>
    <w:rsid w:val="00112BBF"/>
    <w:rsid w:val="0015571F"/>
    <w:rsid w:val="00180247"/>
    <w:rsid w:val="001D2291"/>
    <w:rsid w:val="001F1A58"/>
    <w:rsid w:val="00230612"/>
    <w:rsid w:val="002501B7"/>
    <w:rsid w:val="002623C7"/>
    <w:rsid w:val="0028559F"/>
    <w:rsid w:val="0029081B"/>
    <w:rsid w:val="00293D0F"/>
    <w:rsid w:val="002A07AE"/>
    <w:rsid w:val="002A0F2E"/>
    <w:rsid w:val="003167C5"/>
    <w:rsid w:val="00332ABF"/>
    <w:rsid w:val="003B21CD"/>
    <w:rsid w:val="00421916"/>
    <w:rsid w:val="00431E20"/>
    <w:rsid w:val="00477AFC"/>
    <w:rsid w:val="00483AD6"/>
    <w:rsid w:val="005738B8"/>
    <w:rsid w:val="005C0A10"/>
    <w:rsid w:val="005D470A"/>
    <w:rsid w:val="00625A19"/>
    <w:rsid w:val="00650904"/>
    <w:rsid w:val="00697DE3"/>
    <w:rsid w:val="006B6D9E"/>
    <w:rsid w:val="0070501E"/>
    <w:rsid w:val="0070714E"/>
    <w:rsid w:val="0073647B"/>
    <w:rsid w:val="00740851"/>
    <w:rsid w:val="00761726"/>
    <w:rsid w:val="007C50B6"/>
    <w:rsid w:val="007C6EE4"/>
    <w:rsid w:val="007D1F5B"/>
    <w:rsid w:val="00817F52"/>
    <w:rsid w:val="00821A79"/>
    <w:rsid w:val="0084460B"/>
    <w:rsid w:val="008C02B5"/>
    <w:rsid w:val="009D4E52"/>
    <w:rsid w:val="00A01088"/>
    <w:rsid w:val="00A33DD4"/>
    <w:rsid w:val="00A97583"/>
    <w:rsid w:val="00AB338B"/>
    <w:rsid w:val="00B00421"/>
    <w:rsid w:val="00B3562D"/>
    <w:rsid w:val="00B614C5"/>
    <w:rsid w:val="00B86103"/>
    <w:rsid w:val="00B96D6D"/>
    <w:rsid w:val="00BA590A"/>
    <w:rsid w:val="00BF6A04"/>
    <w:rsid w:val="00C44565"/>
    <w:rsid w:val="00C71C24"/>
    <w:rsid w:val="00C83731"/>
    <w:rsid w:val="00C91B74"/>
    <w:rsid w:val="00D1084A"/>
    <w:rsid w:val="00D16856"/>
    <w:rsid w:val="00D228DD"/>
    <w:rsid w:val="00D31DE1"/>
    <w:rsid w:val="00D62D86"/>
    <w:rsid w:val="00D90534"/>
    <w:rsid w:val="00DA17DF"/>
    <w:rsid w:val="00DE2ECB"/>
    <w:rsid w:val="00EC2B0C"/>
    <w:rsid w:val="00ED3CFD"/>
    <w:rsid w:val="00EF6EC8"/>
    <w:rsid w:val="00F57917"/>
    <w:rsid w:val="00F62CB7"/>
    <w:rsid w:val="00F95F8B"/>
    <w:rsid w:val="00FF0A65"/>
    <w:rsid w:val="00FF4C2D"/>
    <w:rsid w:val="09A283E4"/>
    <w:rsid w:val="586A7ADD"/>
    <w:rsid w:val="6A1895D9"/>
    <w:rsid w:val="6FFCED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9E595"/>
  <w15:chartTrackingRefBased/>
  <w15:docId w15:val="{4A47293C-4F97-C14A-8EEB-F9A52AA5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17406D"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1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37"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8"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hAnsiTheme="majorHAnsi" w:eastAsiaTheme="majorEastAsia"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hAnsiTheme="majorHAnsi" w:eastAsiaTheme="majorEastAsia" w:cstheme="majorBidi"/>
      <w:b/>
      <w:caps/>
      <w:color w:val="0F6FC6"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hAnsiTheme="majorHAnsi" w:eastAsiaTheme="majorEastAsia"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hAnsiTheme="majorHAnsi" w:eastAsiaTheme="majorEastAsia"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hAnsiTheme="majorHAnsi" w:eastAsiaTheme="majorEastAsia" w:cstheme="majorBidi"/>
      <w:b/>
      <w:caps/>
      <w:color w:val="0F6FC6"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hAnsiTheme="majorHAnsi" w:eastAsiaTheme="majorEastAsia" w:cstheme="majorBidi"/>
      <w:caps/>
      <w:color w:val="0F6FC6"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hAnsiTheme="majorHAnsi" w:eastAsiaTheme="majorEastAsia" w:cstheme="majorBidi"/>
      <w:b/>
      <w:iCs/>
      <w:caps/>
      <w:color w:val="4389D7"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hAnsiTheme="majorHAnsi" w:eastAsiaTheme="majorEastAsia" w:cstheme="majorBidi"/>
      <w:caps/>
      <w:color w:val="4389D7"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hAnsiTheme="majorHAnsi" w:eastAsiaTheme="majorEastAsia" w:cstheme="majorBidi"/>
      <w:b/>
      <w:iCs/>
      <w:caps/>
      <w:color w:val="0F6FC6" w:themeColor="accent1"/>
      <w:sz w:val="16"/>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ipJournalTable" w:customStyle="1">
    <w:name w:val="Trip Journal Table"/>
    <w:basedOn w:val="TableNormal"/>
    <w:uiPriority w:val="99"/>
    <w:tblPr>
      <w:tblBorders>
        <w:top w:val="single" w:color="17406D" w:themeColor="text2" w:sz="36" w:space="0"/>
        <w:insideH w:val="single" w:color="17406D" w:themeColor="text2" w:sz="12" w:space="0"/>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4389D7" w:themeColor="text2" w:themeTint="99"/>
      <w:sz w:val="44"/>
    </w:rPr>
  </w:style>
  <w:style w:type="character" w:styleId="FooterChar" w:customStyle="1">
    <w:name w:val="Footer Char"/>
    <w:basedOn w:val="DefaultParagraphFont"/>
    <w:link w:val="Footer"/>
    <w:uiPriority w:val="99"/>
    <w:rPr>
      <w:color w:val="4389D7"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color="17406D" w:themeColor="text2" w:sz="36" w:space="9"/>
      </w:pBdr>
      <w:spacing w:after="280" w:line="240" w:lineRule="auto"/>
    </w:pPr>
    <w:rPr>
      <w:b/>
      <w:caps/>
      <w:sz w:val="34"/>
    </w:rPr>
  </w:style>
  <w:style w:type="character" w:styleId="DateChar" w:customStyle="1">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hAnsiTheme="majorHAnsi" w:eastAsiaTheme="majorEastAsia" w:cstheme="majorBidi"/>
      <w:b/>
      <w:caps/>
      <w:kern w:val="28"/>
      <w:sz w:val="88"/>
      <w:szCs w:val="56"/>
    </w:rPr>
  </w:style>
  <w:style w:type="character" w:styleId="TitleChar" w:customStyle="1">
    <w:name w:val="Title Char"/>
    <w:basedOn w:val="DefaultParagraphFont"/>
    <w:link w:val="Title"/>
    <w:uiPriority w:val="1"/>
    <w:rPr>
      <w:rFonts w:asciiTheme="majorHAnsi" w:hAnsiTheme="majorHAnsi" w:eastAsiaTheme="majorEastAsia"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hAnsiTheme="majorHAnsi" w:eastAsiaTheme="minorEastAsia"/>
      <w:caps/>
      <w:sz w:val="88"/>
      <w:szCs w:val="22"/>
    </w:rPr>
  </w:style>
  <w:style w:type="character" w:styleId="SubtitleChar" w:customStyle="1">
    <w:name w:val="Subtitle Char"/>
    <w:basedOn w:val="DefaultParagraphFont"/>
    <w:link w:val="Subtitle"/>
    <w:uiPriority w:val="2"/>
    <w:rPr>
      <w:rFonts w:asciiTheme="majorHAnsi" w:hAnsiTheme="majorHAnsi" w:eastAsiaTheme="minorEastAsia"/>
      <w:caps/>
      <w:sz w:val="88"/>
      <w:szCs w:val="22"/>
    </w:rPr>
  </w:style>
  <w:style w:type="character" w:styleId="Heading1Char" w:customStyle="1">
    <w:name w:val="Heading 1 Char"/>
    <w:basedOn w:val="DefaultParagraphFont"/>
    <w:link w:val="Heading1"/>
    <w:uiPriority w:val="5"/>
    <w:rPr>
      <w:rFonts w:asciiTheme="majorHAnsi" w:hAnsiTheme="majorHAnsi" w:eastAsiaTheme="majorEastAsia" w:cstheme="majorBidi"/>
      <w:caps/>
      <w:sz w:val="44"/>
      <w:szCs w:val="32"/>
    </w:rPr>
  </w:style>
  <w:style w:type="character" w:styleId="Heading2Char" w:customStyle="1">
    <w:name w:val="Heading 2 Char"/>
    <w:basedOn w:val="DefaultParagraphFont"/>
    <w:link w:val="Heading2"/>
    <w:uiPriority w:val="6"/>
    <w:rPr>
      <w:rFonts w:asciiTheme="majorHAnsi" w:hAnsiTheme="majorHAnsi" w:eastAsiaTheme="majorEastAsia" w:cstheme="majorBidi"/>
      <w:b/>
      <w:caps/>
      <w:color w:val="0F6FC6" w:themeColor="accent1"/>
      <w:sz w:val="24"/>
      <w:szCs w:val="26"/>
    </w:rPr>
  </w:style>
  <w:style w:type="character" w:styleId="Heading3Char" w:customStyle="1">
    <w:name w:val="Heading 3 Char"/>
    <w:basedOn w:val="DefaultParagraphFont"/>
    <w:link w:val="Heading3"/>
    <w:uiPriority w:val="7"/>
    <w:semiHidden/>
    <w:rPr>
      <w:rFonts w:asciiTheme="majorHAnsi" w:hAnsiTheme="majorHAnsi" w:eastAsiaTheme="majorEastAsia" w:cstheme="majorBidi"/>
      <w:b/>
      <w:caps/>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Cs/>
      <w:caps/>
      <w:sz w:val="24"/>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b/>
      <w:caps/>
      <w:color w:val="0F6FC6" w:themeColor="accent1"/>
      <w:sz w:val="20"/>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aps/>
      <w:color w:val="0F6FC6" w:themeColor="accent1"/>
      <w:sz w:val="20"/>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b/>
      <w:iCs/>
      <w:caps/>
      <w:color w:val="4389D7" w:themeColor="text2" w:themeTint="99"/>
      <w:sz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aps/>
      <w:color w:val="4389D7" w:themeColor="text2" w:themeTint="99"/>
      <w:sz w:val="20"/>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b/>
      <w:iCs/>
      <w:caps/>
      <w:color w:val="0F6FC6"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styleId="QuoteChar" w:customStyle="1">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0F6FC6" w:themeColor="accent1"/>
      <w:sz w:val="40"/>
    </w:rPr>
  </w:style>
  <w:style w:type="character" w:styleId="IntenseQuoteChar" w:customStyle="1">
    <w:name w:val="Intense Quote Char"/>
    <w:basedOn w:val="DefaultParagraphFont"/>
    <w:link w:val="IntenseQuote"/>
    <w:uiPriority w:val="30"/>
    <w:semiHidden/>
    <w:rPr>
      <w:iCs/>
      <w:color w:val="0F6FC6"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17406D"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0F6FC6" w:themeColor="accent1"/>
    </w:rPr>
  </w:style>
  <w:style w:type="character" w:styleId="Emphasis">
    <w:name w:val="Emphasis"/>
    <w:basedOn w:val="DefaultParagraphFont"/>
    <w:uiPriority w:val="20"/>
    <w:semiHidden/>
    <w:unhideWhenUsed/>
    <w:qFormat/>
    <w:rPr>
      <w:i w:val="0"/>
      <w:iCs/>
      <w:color w:val="0F6FC6" w:themeColor="accent1"/>
    </w:rPr>
  </w:style>
  <w:style w:type="character" w:styleId="Strong">
    <w:name w:val="Strong"/>
    <w:basedOn w:val="DefaultParagraphFont"/>
    <w:uiPriority w:val="22"/>
    <w:semiHidden/>
    <w:unhideWhenUsed/>
    <w:qFormat/>
    <w:rPr>
      <w:b/>
      <w:bCs/>
      <w:color w:val="17406D" w:themeColor="text2"/>
    </w:rPr>
  </w:style>
  <w:style w:type="character" w:styleId="SubtleReference">
    <w:name w:val="Subtle Reference"/>
    <w:basedOn w:val="DefaultParagraphFont"/>
    <w:uiPriority w:val="31"/>
    <w:semiHidden/>
    <w:unhideWhenUsed/>
    <w:qFormat/>
    <w:rPr>
      <w:caps/>
      <w:smallCaps w:val="0"/>
      <w:color w:val="17406D" w:themeColor="text2"/>
    </w:rPr>
  </w:style>
  <w:style w:type="character" w:styleId="IntenseReference">
    <w:name w:val="Intense Reference"/>
    <w:basedOn w:val="DefaultParagraphFont"/>
    <w:uiPriority w:val="32"/>
    <w:semiHidden/>
    <w:unhideWhenUsed/>
    <w:qFormat/>
    <w:rPr>
      <w:b/>
      <w:bCs/>
      <w:caps/>
      <w:smallCaps w:val="0"/>
      <w:color w:val="17406D"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4389D7"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noteText">
    <w:name w:val="footnote text"/>
    <w:basedOn w:val="Normal"/>
    <w:link w:val="FootnoteTextChar"/>
    <w:uiPriority w:val="99"/>
    <w:semiHidden/>
    <w:unhideWhenUsed/>
    <w:rsid w:val="007C50B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C50B6"/>
    <w:rPr>
      <w:sz w:val="20"/>
      <w:szCs w:val="20"/>
    </w:rPr>
  </w:style>
  <w:style w:type="character" w:styleId="FootnoteReference">
    <w:name w:val="footnote reference"/>
    <w:basedOn w:val="DefaultParagraphFont"/>
    <w:uiPriority w:val="99"/>
    <w:semiHidden/>
    <w:unhideWhenUsed/>
    <w:rsid w:val="007C50B6"/>
    <w:rPr>
      <w:vertAlign w:val="superscript"/>
    </w:rPr>
  </w:style>
  <w:style w:type="character" w:styleId="Hyperlink">
    <w:name w:val="Hyperlink"/>
    <w:basedOn w:val="DefaultParagraphFont"/>
    <w:uiPriority w:val="99"/>
    <w:unhideWhenUsed/>
    <w:rsid w:val="007C50B6"/>
    <w:rPr>
      <w:color w:val="F49100" w:themeColor="hyperlink"/>
      <w:u w:val="single"/>
    </w:rPr>
  </w:style>
  <w:style w:type="character" w:styleId="UnresolvedMention">
    <w:name w:val="Unresolved Mention"/>
    <w:basedOn w:val="DefaultParagraphFont"/>
    <w:uiPriority w:val="99"/>
    <w:semiHidden/>
    <w:unhideWhenUsed/>
    <w:rsid w:val="007C50B6"/>
    <w:rPr>
      <w:color w:val="605E5C"/>
      <w:shd w:val="clear" w:color="auto" w:fill="E1DFDD"/>
    </w:rPr>
  </w:style>
  <w:style w:type="character" w:styleId="CommentReference">
    <w:name w:val="annotation reference"/>
    <w:basedOn w:val="DefaultParagraphFont"/>
    <w:uiPriority w:val="99"/>
    <w:semiHidden/>
    <w:unhideWhenUsed/>
    <w:rsid w:val="006B6D9E"/>
    <w:rPr>
      <w:sz w:val="16"/>
      <w:szCs w:val="16"/>
    </w:rPr>
  </w:style>
  <w:style w:type="paragraph" w:styleId="CommentText">
    <w:name w:val="annotation text"/>
    <w:basedOn w:val="Normal"/>
    <w:link w:val="CommentTextChar"/>
    <w:uiPriority w:val="99"/>
    <w:semiHidden/>
    <w:unhideWhenUsed/>
    <w:rsid w:val="006B6D9E"/>
    <w:pPr>
      <w:spacing w:line="240" w:lineRule="auto"/>
    </w:pPr>
    <w:rPr>
      <w:sz w:val="20"/>
      <w:szCs w:val="20"/>
    </w:rPr>
  </w:style>
  <w:style w:type="character" w:styleId="CommentTextChar" w:customStyle="1">
    <w:name w:val="Comment Text Char"/>
    <w:basedOn w:val="DefaultParagraphFont"/>
    <w:link w:val="CommentText"/>
    <w:uiPriority w:val="99"/>
    <w:semiHidden/>
    <w:rsid w:val="006B6D9E"/>
    <w:rPr>
      <w:sz w:val="20"/>
      <w:szCs w:val="20"/>
    </w:rPr>
  </w:style>
  <w:style w:type="paragraph" w:styleId="CommentSubject">
    <w:name w:val="annotation subject"/>
    <w:basedOn w:val="CommentText"/>
    <w:next w:val="CommentText"/>
    <w:link w:val="CommentSubjectChar"/>
    <w:uiPriority w:val="99"/>
    <w:semiHidden/>
    <w:unhideWhenUsed/>
    <w:rsid w:val="006B6D9E"/>
    <w:rPr>
      <w:b/>
      <w:bCs/>
    </w:rPr>
  </w:style>
  <w:style w:type="character" w:styleId="CommentSubjectChar" w:customStyle="1">
    <w:name w:val="Comment Subject Char"/>
    <w:basedOn w:val="CommentTextChar"/>
    <w:link w:val="CommentSubject"/>
    <w:uiPriority w:val="99"/>
    <w:semiHidden/>
    <w:rsid w:val="006B6D9E"/>
    <w:rPr>
      <w:b/>
      <w:bCs/>
      <w:sz w:val="20"/>
      <w:szCs w:val="20"/>
    </w:rPr>
  </w:style>
  <w:style w:type="table" w:styleId="GridTable1Light-Accent1">
    <w:name w:val="Grid Table 1 Light Accent 1"/>
    <w:basedOn w:val="TableNormal"/>
    <w:uiPriority w:val="46"/>
    <w:rsid w:val="00C71C24"/>
    <w:pPr>
      <w:spacing w:after="0" w:line="240" w:lineRule="auto"/>
    </w:pPr>
    <w:tblPr>
      <w:tblStyleRowBandSize w:val="1"/>
      <w:tblStyleColBandSize w:val="1"/>
      <w:tblBorders>
        <w:top w:val="single" w:color="90C5F6" w:themeColor="accent1" w:themeTint="66" w:sz="4" w:space="0"/>
        <w:left w:val="single" w:color="90C5F6" w:themeColor="accent1" w:themeTint="66" w:sz="4" w:space="0"/>
        <w:bottom w:val="single" w:color="90C5F6" w:themeColor="accent1" w:themeTint="66" w:sz="4" w:space="0"/>
        <w:right w:val="single" w:color="90C5F6" w:themeColor="accent1" w:themeTint="66" w:sz="4" w:space="0"/>
        <w:insideH w:val="single" w:color="90C5F6" w:themeColor="accent1" w:themeTint="66" w:sz="4" w:space="0"/>
        <w:insideV w:val="single" w:color="90C5F6" w:themeColor="accent1" w:themeTint="66" w:sz="4" w:space="0"/>
      </w:tblBorders>
    </w:tblPr>
    <w:tblStylePr w:type="firstRow">
      <w:rPr>
        <w:b/>
        <w:bCs/>
      </w:rPr>
      <w:tblPr/>
      <w:tcPr>
        <w:tcBorders>
          <w:bottom w:val="single" w:color="59A9F2" w:themeColor="accent1" w:themeTint="99" w:sz="12" w:space="0"/>
        </w:tcBorders>
      </w:tcPr>
    </w:tblStylePr>
    <w:tblStylePr w:type="lastRow">
      <w:rPr>
        <w:b/>
        <w:bCs/>
      </w:rPr>
      <w:tblPr/>
      <w:tcPr>
        <w:tcBorders>
          <w:top w:val="double" w:color="59A9F2" w:themeColor="accen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2BBF"/>
    <w:pPr>
      <w:spacing w:after="0" w:line="240" w:lineRule="auto"/>
    </w:pPr>
    <w:tblPr>
      <w:tblStyleRowBandSize w:val="1"/>
      <w:tblStyleColBandSize w:val="1"/>
      <w:tblBorders>
        <w:top w:val="single" w:color="CAE9C0" w:themeColor="accent5" w:themeTint="66" w:sz="4" w:space="0"/>
        <w:left w:val="single" w:color="CAE9C0" w:themeColor="accent5" w:themeTint="66" w:sz="4" w:space="0"/>
        <w:bottom w:val="single" w:color="CAE9C0" w:themeColor="accent5" w:themeTint="66" w:sz="4" w:space="0"/>
        <w:right w:val="single" w:color="CAE9C0" w:themeColor="accent5" w:themeTint="66" w:sz="4" w:space="0"/>
        <w:insideH w:val="single" w:color="CAE9C0" w:themeColor="accent5" w:themeTint="66" w:sz="4" w:space="0"/>
        <w:insideV w:val="single" w:color="CAE9C0" w:themeColor="accent5" w:themeTint="66" w:sz="4" w:space="0"/>
      </w:tblBorders>
    </w:tblPr>
    <w:tblStylePr w:type="firstRow">
      <w:rPr>
        <w:b/>
        <w:bCs/>
      </w:rPr>
      <w:tblPr/>
      <w:tcPr>
        <w:tcBorders>
          <w:bottom w:val="single" w:color="B0DFA0" w:themeColor="accent5" w:themeTint="99" w:sz="12" w:space="0"/>
        </w:tcBorders>
      </w:tcPr>
    </w:tblStylePr>
    <w:tblStylePr w:type="lastRow">
      <w:rPr>
        <w:b/>
        <w:bCs/>
      </w:rPr>
      <w:tblPr/>
      <w:tcPr>
        <w:tcBorders>
          <w:top w:val="double" w:color="B0DFA0" w:themeColor="accent5"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1FED"/>
    <w:pPr>
      <w:spacing w:after="0" w:line="240" w:lineRule="auto"/>
    </w:pPr>
    <w:tblPr>
      <w:tblStyleRowBandSize w:val="1"/>
      <w:tblStyleColBandSize w:val="1"/>
      <w:tblBorders>
        <w:top w:val="single" w:color="93F4F9" w:themeColor="accent3" w:themeTint="66" w:sz="4" w:space="0"/>
        <w:left w:val="single" w:color="93F4F9" w:themeColor="accent3" w:themeTint="66" w:sz="4" w:space="0"/>
        <w:bottom w:val="single" w:color="93F4F9" w:themeColor="accent3" w:themeTint="66" w:sz="4" w:space="0"/>
        <w:right w:val="single" w:color="93F4F9" w:themeColor="accent3" w:themeTint="66" w:sz="4" w:space="0"/>
        <w:insideH w:val="single" w:color="93F4F9" w:themeColor="accent3" w:themeTint="66" w:sz="4" w:space="0"/>
        <w:insideV w:val="single" w:color="93F4F9" w:themeColor="accent3" w:themeTint="66" w:sz="4" w:space="0"/>
      </w:tblBorders>
    </w:tblPr>
    <w:tblStylePr w:type="firstRow">
      <w:rPr>
        <w:b/>
        <w:bCs/>
      </w:rPr>
      <w:tblPr/>
      <w:tcPr>
        <w:tcBorders>
          <w:bottom w:val="single" w:color="5DEFF6" w:themeColor="accent3" w:themeTint="99" w:sz="12" w:space="0"/>
        </w:tcBorders>
      </w:tcPr>
    </w:tblStylePr>
    <w:tblStylePr w:type="lastRow">
      <w:rPr>
        <w:b/>
        <w:bCs/>
      </w:rPr>
      <w:tblPr/>
      <w:tcPr>
        <w:tcBorders>
          <w:top w:val="double" w:color="5DEFF6" w:themeColor="accent3" w:themeTint="99" w:sz="2" w:space="0"/>
        </w:tcBorders>
      </w:tcPr>
    </w:tblStylePr>
    <w:tblStylePr w:type="firstCol">
      <w:rPr>
        <w:b/>
        <w:bCs/>
      </w:rPr>
    </w:tblStylePr>
    <w:tblStylePr w:type="lastCol">
      <w:rPr>
        <w:b/>
        <w:bCs/>
      </w:rPr>
    </w:tblStylePr>
  </w:style>
  <w:style w:type="table" w:styleId="Style1" w:customStyle="1">
    <w:name w:val="Style1"/>
    <w:basedOn w:val="TableNormal"/>
    <w:uiPriority w:val="99"/>
    <w:rsid w:val="00111FED"/>
    <w:pPr>
      <w:spacing w:after="0" w:line="240" w:lineRule="auto"/>
    </w:pPr>
    <w:tblPr/>
  </w:style>
  <w:style w:type="table" w:styleId="Style2" w:customStyle="1">
    <w:name w:val="Style2"/>
    <w:basedOn w:val="TableNormal"/>
    <w:uiPriority w:val="99"/>
    <w:rsid w:val="00111FE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4045">
      <w:bodyDiv w:val="1"/>
      <w:marLeft w:val="0"/>
      <w:marRight w:val="0"/>
      <w:marTop w:val="0"/>
      <w:marBottom w:val="0"/>
      <w:divBdr>
        <w:top w:val="none" w:sz="0" w:space="0" w:color="auto"/>
        <w:left w:val="none" w:sz="0" w:space="0" w:color="auto"/>
        <w:bottom w:val="none" w:sz="0" w:space="0" w:color="auto"/>
        <w:right w:val="none" w:sz="0" w:space="0" w:color="auto"/>
      </w:divBdr>
    </w:div>
    <w:div w:id="671688464">
      <w:bodyDiv w:val="1"/>
      <w:marLeft w:val="0"/>
      <w:marRight w:val="0"/>
      <w:marTop w:val="0"/>
      <w:marBottom w:val="0"/>
      <w:divBdr>
        <w:top w:val="none" w:sz="0" w:space="0" w:color="auto"/>
        <w:left w:val="none" w:sz="0" w:space="0" w:color="auto"/>
        <w:bottom w:val="none" w:sz="0" w:space="0" w:color="auto"/>
        <w:right w:val="none" w:sz="0" w:space="0" w:color="auto"/>
      </w:divBdr>
    </w:div>
    <w:div w:id="689796496">
      <w:bodyDiv w:val="1"/>
      <w:marLeft w:val="0"/>
      <w:marRight w:val="0"/>
      <w:marTop w:val="0"/>
      <w:marBottom w:val="0"/>
      <w:divBdr>
        <w:top w:val="none" w:sz="0" w:space="0" w:color="auto"/>
        <w:left w:val="none" w:sz="0" w:space="0" w:color="auto"/>
        <w:bottom w:val="none" w:sz="0" w:space="0" w:color="auto"/>
        <w:right w:val="none" w:sz="0" w:space="0" w:color="auto"/>
      </w:divBdr>
    </w:div>
    <w:div w:id="727070586">
      <w:bodyDiv w:val="1"/>
      <w:marLeft w:val="0"/>
      <w:marRight w:val="0"/>
      <w:marTop w:val="0"/>
      <w:marBottom w:val="0"/>
      <w:divBdr>
        <w:top w:val="none" w:sz="0" w:space="0" w:color="auto"/>
        <w:left w:val="none" w:sz="0" w:space="0" w:color="auto"/>
        <w:bottom w:val="none" w:sz="0" w:space="0" w:color="auto"/>
        <w:right w:val="none" w:sz="0" w:space="0" w:color="auto"/>
      </w:divBdr>
    </w:div>
    <w:div w:id="1014109822">
      <w:bodyDiv w:val="1"/>
      <w:marLeft w:val="0"/>
      <w:marRight w:val="0"/>
      <w:marTop w:val="0"/>
      <w:marBottom w:val="0"/>
      <w:divBdr>
        <w:top w:val="none" w:sz="0" w:space="0" w:color="auto"/>
        <w:left w:val="none" w:sz="0" w:space="0" w:color="auto"/>
        <w:bottom w:val="none" w:sz="0" w:space="0" w:color="auto"/>
        <w:right w:val="none" w:sz="0" w:space="0" w:color="auto"/>
      </w:divBdr>
    </w:div>
    <w:div w:id="1071584437">
      <w:bodyDiv w:val="1"/>
      <w:marLeft w:val="0"/>
      <w:marRight w:val="0"/>
      <w:marTop w:val="0"/>
      <w:marBottom w:val="0"/>
      <w:divBdr>
        <w:top w:val="none" w:sz="0" w:space="0" w:color="auto"/>
        <w:left w:val="none" w:sz="0" w:space="0" w:color="auto"/>
        <w:bottom w:val="none" w:sz="0" w:space="0" w:color="auto"/>
        <w:right w:val="none" w:sz="0" w:space="0" w:color="auto"/>
      </w:divBdr>
    </w:div>
    <w:div w:id="1166095670">
      <w:bodyDiv w:val="1"/>
      <w:marLeft w:val="0"/>
      <w:marRight w:val="0"/>
      <w:marTop w:val="0"/>
      <w:marBottom w:val="0"/>
      <w:divBdr>
        <w:top w:val="none" w:sz="0" w:space="0" w:color="auto"/>
        <w:left w:val="none" w:sz="0" w:space="0" w:color="auto"/>
        <w:bottom w:val="none" w:sz="0" w:space="0" w:color="auto"/>
        <w:right w:val="none" w:sz="0" w:space="0" w:color="auto"/>
      </w:divBdr>
    </w:div>
    <w:div w:id="15862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ra/Library/Containers/com.microsoft.Word/Data/Library/Application%20Support/Microsoft/Office/16.0/DTS/en-GB%7b1597C9C2-F0E4-2245-BF84-A6407AFD5CA2%7d/%7b3F45DC64-2FDB-DA40-ABB5-15E3BE6D8F96%7dtf10002070.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3" ma:contentTypeDescription="Create a new document." ma:contentTypeScope="" ma:versionID="fe0ec7845ad158e6f4f6ddfe81b9c46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dcd9b6449891cb9c154ba995fac89961"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D66636-F009-5A4A-8102-D772673B3698}">
  <ds:schemaRefs>
    <ds:schemaRef ds:uri="http://schemas.openxmlformats.org/officeDocument/2006/bibliography"/>
  </ds:schemaRefs>
</ds:datastoreItem>
</file>

<file path=customXml/itemProps2.xml><?xml version="1.0" encoding="utf-8"?>
<ds:datastoreItem xmlns:ds="http://schemas.openxmlformats.org/officeDocument/2006/customXml" ds:itemID="{40B7FE70-1C05-4AC3-8024-C8B9F00F9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16948-1be2-463a-bbf1-364bfaded1fe"/>
    <ds:schemaRef ds:uri="6a82d4b0-c4fa-4fff-8f4a-3b1b59640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ADA9B-A9FA-481B-B564-B64FE9EF849C}">
  <ds:schemaRefs>
    <ds:schemaRef ds:uri="http://schemas.microsoft.com/sharepoint/v3/contenttype/forms"/>
  </ds:schemaRefs>
</ds:datastoreItem>
</file>

<file path=customXml/itemProps4.xml><?xml version="1.0" encoding="utf-8"?>
<ds:datastoreItem xmlns:ds="http://schemas.openxmlformats.org/officeDocument/2006/customXml" ds:itemID="{B9D91719-BD2E-4B4F-B771-36897F5747DD}">
  <ds:schemaRefs>
    <ds:schemaRef ds:uri="http://schemas.microsoft.com/office/2006/metadata/properties"/>
    <ds:schemaRef ds:uri="http://schemas.microsoft.com/office/infopath/2007/PartnerControls"/>
    <ds:schemaRef ds:uri="6a82d4b0-c4fa-4fff-8f4a-3b1b59640f76"/>
    <ds:schemaRef ds:uri="ff216948-1be2-463a-bbf1-364bfaded1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{3F45DC64-2FDB-DA40-ABB5-15E3BE6D8F96}tf10002070.dotx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 Markova</dc:creator>
  <keywords/>
  <dc:description/>
  <lastModifiedBy>Galimira  Markova</lastModifiedBy>
  <revision>24</revision>
  <dcterms:created xsi:type="dcterms:W3CDTF">2023-05-11T10:33:00.0000000Z</dcterms:created>
  <dcterms:modified xsi:type="dcterms:W3CDTF">2023-08-24T08:58:32.1057140Z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y fmtid="{D5CDD505-2E9C-101B-9397-08002B2CF9AE}" pid="3" name="ContentTypeId">
    <vt:lpwstr>0x010100AFCD215A2D3AAA4EADDD28F84A6B833E</vt:lpwstr>
  </property>
  <property fmtid="{D5CDD505-2E9C-101B-9397-08002B2CF9AE}" pid="4" name="MediaServiceImageTags">
    <vt:lpwstr/>
  </property>
</Properties>
</file>